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AC220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 xml:space="preserve"> </w:t>
      </w: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Pr="00000A00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F61B1A" w:rsidRPr="00000A00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>Pró-reitoria de Ensino</w:t>
      </w:r>
    </w:p>
    <w:p w:rsidR="005316E2" w:rsidRPr="00000A00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316E2" w:rsidRPr="00000A00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968D6" w:rsidRPr="00000A00">
        <w:rPr>
          <w:rFonts w:ascii="Arial" w:hAnsi="Arial" w:cs="Arial"/>
          <w:bCs/>
          <w:sz w:val="24"/>
          <w:szCs w:val="24"/>
        </w:rPr>
        <w:t>Bacharelado em Engenharia Mecânica</w:t>
      </w:r>
    </w:p>
    <w:p w:rsidR="005316E2" w:rsidRPr="00000A00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00A00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    </w:t>
      </w:r>
      <w:r w:rsidR="00F968D6" w:rsidRPr="00000A00">
        <w:rPr>
          <w:rFonts w:ascii="Arial" w:hAnsi="Arial" w:cs="Arial"/>
          <w:b w:val="0"/>
          <w:snapToGrid w:val="0"/>
          <w:szCs w:val="24"/>
          <w:lang w:eastAsia="pt-BR"/>
        </w:rPr>
        <w:t>Sistemas térmicos</w:t>
      </w:r>
    </w:p>
    <w:p w:rsidR="005316E2" w:rsidRPr="00000A00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00A00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F968D6" w:rsidRPr="00000A00">
        <w:rPr>
          <w:rFonts w:ascii="Arial" w:hAnsi="Arial" w:cs="Arial"/>
          <w:b w:val="0"/>
          <w:snapToGrid w:val="0"/>
          <w:szCs w:val="24"/>
          <w:lang w:eastAsia="pt-BR"/>
        </w:rPr>
        <w:t xml:space="preserve"> 7E</w:t>
      </w:r>
    </w:p>
    <w:p w:rsidR="005316E2" w:rsidRPr="00000A00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00A00">
        <w:rPr>
          <w:rFonts w:ascii="Arial" w:hAnsi="Arial" w:cs="Arial"/>
          <w:b w:val="0"/>
          <w:snapToGrid w:val="0"/>
          <w:szCs w:val="24"/>
          <w:lang w:eastAsia="pt-BR"/>
        </w:rPr>
        <w:t>Professor:</w:t>
      </w:r>
      <w:r w:rsidR="00F968D6" w:rsidRPr="00000A00">
        <w:rPr>
          <w:rFonts w:ascii="Arial" w:hAnsi="Arial" w:cs="Arial"/>
          <w:b w:val="0"/>
          <w:snapToGrid w:val="0"/>
          <w:szCs w:val="24"/>
          <w:lang w:eastAsia="pt-BR"/>
        </w:rPr>
        <w:t xml:space="preserve"> João Antônio Pinto de Oliveira</w:t>
      </w:r>
      <w:r w:rsidR="00126DAD" w:rsidRPr="00000A00">
        <w:rPr>
          <w:rFonts w:ascii="Arial" w:hAnsi="Arial" w:cs="Arial"/>
          <w:b w:val="0"/>
          <w:snapToGrid w:val="0"/>
          <w:szCs w:val="24"/>
          <w:lang w:eastAsia="pt-BR"/>
        </w:rPr>
        <w:t xml:space="preserve"> (japo@sapucaia.ifsul.edu.br)</w:t>
      </w:r>
    </w:p>
    <w:p w:rsidR="00545F43" w:rsidRPr="00000A00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6232B9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F968D6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40 horas aula / 30 horas </w:t>
      </w:r>
      <w:r w:rsidR="00126DAD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de atendimento: </w:t>
      </w:r>
      <w:r w:rsidR="00674ADC" w:rsidRPr="00000A00">
        <w:rPr>
          <w:rFonts w:ascii="Arial" w:hAnsi="Arial" w:cs="Arial"/>
          <w:snapToGrid w:val="0"/>
          <w:sz w:val="24"/>
          <w:szCs w:val="24"/>
          <w:lang w:eastAsia="pt-BR"/>
        </w:rPr>
        <w:t>segundas 18:15 – 19:00 h e quartas 15:00 – 15:45</w:t>
      </w:r>
    </w:p>
    <w:p w:rsidR="00E6564C" w:rsidRPr="003C3DD7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6232B9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F968D6" w:rsidRPr="00000A00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FC33BF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F968D6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- </w:t>
      </w:r>
      <w:r w:rsidR="003743C6">
        <w:rPr>
          <w:rFonts w:ascii="Arial" w:hAnsi="Arial" w:cs="Arial"/>
          <w:snapToGrid w:val="0"/>
          <w:sz w:val="24"/>
          <w:szCs w:val="24"/>
          <w:lang w:eastAsia="pt-BR"/>
        </w:rPr>
        <w:t>Segundo</w:t>
      </w:r>
      <w:r w:rsidR="00F968D6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semestre</w:t>
      </w: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C3DD7">
        <w:rPr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000A00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A55957" w:rsidRPr="00000A00" w:rsidRDefault="003C3DD7" w:rsidP="00A55957">
            <w:pPr>
              <w:pStyle w:val="Default"/>
            </w:pPr>
            <w:r w:rsidRPr="00000A00">
              <w:rPr>
                <w:b/>
              </w:rPr>
              <w:t xml:space="preserve">1. </w:t>
            </w:r>
            <w:r w:rsidR="0091730E" w:rsidRPr="00000A00">
              <w:rPr>
                <w:b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1"/>
            </w:tblGrid>
            <w:tr w:rsidR="00A55957" w:rsidRPr="00000A00">
              <w:tblPrEx>
                <w:tblCellMar>
                  <w:top w:w="0" w:type="dxa"/>
                  <w:bottom w:w="0" w:type="dxa"/>
                </w:tblCellMar>
              </w:tblPrEx>
              <w:trPr>
                <w:trHeight w:val="664"/>
              </w:trPr>
              <w:tc>
                <w:tcPr>
                  <w:tcW w:w="8501" w:type="dxa"/>
                </w:tcPr>
                <w:p w:rsidR="00A55957" w:rsidRPr="00000A00" w:rsidRDefault="00A55957">
                  <w:pPr>
                    <w:pStyle w:val="Default"/>
                  </w:pPr>
                  <w:r w:rsidRPr="00000A00">
                    <w:t xml:space="preserve"> Estudo dos tipos de trocadores, suas características e aplicação. Definição da distribuição de temperatura nos trocadores de calor e do coeficiente global de transferência de calor. Análise dos trocadores de calor. Elaboração de projeto </w:t>
                  </w:r>
                  <w:proofErr w:type="spellStart"/>
                  <w:r w:rsidRPr="00000A00">
                    <w:t>termo-fluidodinâmico</w:t>
                  </w:r>
                  <w:proofErr w:type="spellEnd"/>
                  <w:r w:rsidRPr="00000A00">
                    <w:t xml:space="preserve"> de trocadores de calor. Estudo das torres de resfriamento. </w:t>
                  </w:r>
                </w:p>
              </w:tc>
            </w:tr>
          </w:tbl>
          <w:p w:rsidR="0091730E" w:rsidRPr="00000A00" w:rsidRDefault="0091730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000A00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5316E2" w:rsidRPr="00000A00" w:rsidRDefault="00BF34C0" w:rsidP="00305E2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0A00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91730E" w:rsidRPr="00000A00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DA0440" w:rsidRPr="00000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0440" w:rsidRPr="00000A00">
              <w:rPr>
                <w:rFonts w:ascii="Arial" w:hAnsi="Arial" w:cs="Arial"/>
                <w:sz w:val="24"/>
                <w:szCs w:val="24"/>
              </w:rPr>
              <w:t xml:space="preserve">Conhecer os principais tipos de trocadores de calor e realizar </w:t>
            </w:r>
            <w:r w:rsidR="00305E26" w:rsidRPr="00000A00">
              <w:rPr>
                <w:rFonts w:ascii="Arial" w:hAnsi="Arial" w:cs="Arial"/>
                <w:sz w:val="24"/>
                <w:szCs w:val="24"/>
              </w:rPr>
              <w:t>o</w:t>
            </w:r>
            <w:r w:rsidR="00DA0440" w:rsidRPr="00000A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E26" w:rsidRPr="00000A00">
              <w:rPr>
                <w:rFonts w:ascii="Arial" w:hAnsi="Arial" w:cs="Arial"/>
                <w:sz w:val="24"/>
                <w:szCs w:val="24"/>
              </w:rPr>
              <w:t>dimensionamento</w:t>
            </w:r>
            <w:r w:rsidR="00DA0440" w:rsidRPr="00000A00">
              <w:rPr>
                <w:rFonts w:ascii="Arial" w:hAnsi="Arial" w:cs="Arial"/>
                <w:sz w:val="24"/>
                <w:szCs w:val="24"/>
              </w:rPr>
              <w:t xml:space="preserve"> de um trocador de calor. Conhecer os principais tipos de torres de resfriamento</w:t>
            </w:r>
            <w:r w:rsidR="000B53EC" w:rsidRPr="00000A00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B202E9" w:rsidRPr="00000A00">
              <w:rPr>
                <w:rFonts w:ascii="Arial" w:hAnsi="Arial" w:cs="Arial"/>
                <w:sz w:val="24"/>
                <w:szCs w:val="24"/>
              </w:rPr>
              <w:t xml:space="preserve"> seu funcionamento</w:t>
            </w:r>
            <w:r w:rsidR="000B53EC" w:rsidRPr="00000A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000A00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5316E2" w:rsidRPr="00000A00" w:rsidRDefault="005316E2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00A00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91730E" w:rsidRPr="00000A0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 UNIDADE I – Tipos de trocadores de calor, características e aplicação.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UNIDADE II – Distribuição de temperatura nos trocadores de calor.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UNIDADE III – Coeficiente global de transferência de calor.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UNIDADE IV – Análise de trocadores de calor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                         4.1 O uso da média logarítmica das diferenças de temperatura.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                         4.2 O Método da Efetividade – </w:t>
            </w:r>
            <w:r w:rsidR="005E116F" w:rsidRPr="00000A00">
              <w:t>(</w:t>
            </w:r>
            <w:r w:rsidRPr="00000A00">
              <w:t>NUT</w:t>
            </w:r>
            <w:r w:rsidR="005E116F" w:rsidRPr="00000A00">
              <w:t xml:space="preserve"> ou NTU)</w:t>
            </w:r>
            <w:r w:rsidRPr="00000A00">
              <w:t xml:space="preserve">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UNIDADE V – </w:t>
            </w:r>
            <w:r w:rsidR="00305E26" w:rsidRPr="00000A00">
              <w:t>Análise</w:t>
            </w:r>
            <w:r w:rsidRPr="00000A00">
              <w:t xml:space="preserve"> de trocadores de calor - metodologia de cálculo aplicada a trocadores: duplo-tubo, casco e tubos e compactos tubo-</w:t>
            </w:r>
            <w:proofErr w:type="spellStart"/>
            <w:r w:rsidRPr="00000A00">
              <w:t>aletados</w:t>
            </w:r>
            <w:proofErr w:type="spellEnd"/>
            <w:r w:rsidRPr="00000A00">
              <w:t xml:space="preserve">. </w:t>
            </w:r>
          </w:p>
          <w:p w:rsidR="003C3DD7" w:rsidRPr="00000A00" w:rsidRDefault="003C3DD7" w:rsidP="00671724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00A00">
              <w:rPr>
                <w:rFonts w:ascii="Arial" w:hAnsi="Arial" w:cs="Arial"/>
                <w:sz w:val="24"/>
                <w:szCs w:val="24"/>
              </w:rPr>
              <w:t xml:space="preserve">UNIDADE VI – </w:t>
            </w:r>
            <w:r w:rsidR="005C1F17" w:rsidRPr="00000A00">
              <w:rPr>
                <w:rFonts w:ascii="Arial" w:hAnsi="Arial" w:cs="Arial"/>
                <w:sz w:val="24"/>
                <w:szCs w:val="24"/>
              </w:rPr>
              <w:t xml:space="preserve">Torres de resfriamento de água: principais tipos de torres e suas partes, </w:t>
            </w:r>
            <w:proofErr w:type="spellStart"/>
            <w:r w:rsidR="005C1F17" w:rsidRPr="00000A00">
              <w:rPr>
                <w:rFonts w:ascii="Arial" w:hAnsi="Arial" w:cs="Arial"/>
                <w:sz w:val="24"/>
                <w:szCs w:val="24"/>
              </w:rPr>
              <w:t>psicrometria</w:t>
            </w:r>
            <w:proofErr w:type="spellEnd"/>
            <w:r w:rsidR="005C1F17" w:rsidRPr="00000A00">
              <w:rPr>
                <w:rFonts w:ascii="Arial" w:hAnsi="Arial" w:cs="Arial"/>
                <w:sz w:val="24"/>
                <w:szCs w:val="24"/>
              </w:rPr>
              <w:t>, transferência de calor e massa e balanços de massa e energia.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Pr="00000A00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000A00">
        <w:rPr>
          <w:rFonts w:ascii="Arial" w:hAnsi="Arial" w:cs="Arial"/>
          <w:b/>
          <w:szCs w:val="24"/>
        </w:rPr>
        <w:t xml:space="preserve">4. </w:t>
      </w:r>
      <w:r w:rsidR="0091730E" w:rsidRPr="00000A00">
        <w:rPr>
          <w:rFonts w:ascii="Arial" w:hAnsi="Arial" w:cs="Arial"/>
          <w:b/>
          <w:szCs w:val="24"/>
        </w:rPr>
        <w:t>PROCEDIMENTOS DIDÁTICOS</w:t>
      </w:r>
      <w:r w:rsidRPr="00000A00">
        <w:rPr>
          <w:rFonts w:ascii="Arial" w:hAnsi="Arial" w:cs="Arial"/>
          <w:b/>
          <w:szCs w:val="24"/>
        </w:rPr>
        <w:t>:</w:t>
      </w:r>
      <w:r w:rsidR="002F1703" w:rsidRPr="00000A00">
        <w:rPr>
          <w:rFonts w:ascii="Arial" w:hAnsi="Arial" w:cs="Arial"/>
          <w:b/>
          <w:szCs w:val="24"/>
        </w:rPr>
        <w:t xml:space="preserve"> </w:t>
      </w:r>
    </w:p>
    <w:p w:rsidR="002F1703" w:rsidRPr="00000A00" w:rsidRDefault="0098281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000A00">
        <w:rPr>
          <w:rFonts w:ascii="Arial" w:hAnsi="Arial" w:cs="Arial"/>
          <w:bCs/>
          <w:szCs w:val="24"/>
        </w:rPr>
        <w:t>As aulas serão desenvolvidas em sala de aula, de forma expositiva e dialogada.</w:t>
      </w:r>
    </w:p>
    <w:p w:rsidR="00982812" w:rsidRPr="00000A00" w:rsidRDefault="0098281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00A00">
        <w:rPr>
          <w:rFonts w:ascii="Arial" w:hAnsi="Arial" w:cs="Arial"/>
          <w:bCs/>
          <w:szCs w:val="24"/>
        </w:rPr>
        <w:t>Recursos</w:t>
      </w:r>
      <w:r w:rsidRPr="00000A00">
        <w:rPr>
          <w:rFonts w:ascii="Arial" w:hAnsi="Arial" w:cs="Arial"/>
          <w:b/>
          <w:bCs/>
          <w:szCs w:val="24"/>
        </w:rPr>
        <w:t>:</w:t>
      </w:r>
      <w:r w:rsidRPr="00000A00">
        <w:rPr>
          <w:rFonts w:ascii="Arial" w:hAnsi="Arial" w:cs="Arial"/>
          <w:bCs/>
          <w:szCs w:val="24"/>
        </w:rPr>
        <w:t xml:space="preserve"> quadro (lousa), projetor multimídia.</w:t>
      </w:r>
    </w:p>
    <w:p w:rsidR="0091730E" w:rsidRPr="005316E2" w:rsidRDefault="005C1F17" w:rsidP="009D6CAE">
      <w:pP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730E" w:rsidRPr="00000A00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000A00">
        <w:rPr>
          <w:rFonts w:ascii="Arial" w:hAnsi="Arial" w:cs="Arial"/>
          <w:sz w:val="22"/>
          <w:szCs w:val="22"/>
        </w:rPr>
        <w:t xml:space="preserve">5. PROCEDIMENTOS E CRITÉRIOS DE </w:t>
      </w:r>
      <w:r w:rsidR="0091730E" w:rsidRPr="00000A00">
        <w:rPr>
          <w:rFonts w:ascii="Arial" w:hAnsi="Arial" w:cs="Arial"/>
          <w:sz w:val="22"/>
          <w:szCs w:val="22"/>
        </w:rPr>
        <w:t>AVALIAÇÃO</w:t>
      </w:r>
      <w:r w:rsidRPr="00000A00">
        <w:rPr>
          <w:rFonts w:ascii="Arial" w:hAnsi="Arial" w:cs="Arial"/>
          <w:sz w:val="22"/>
          <w:szCs w:val="22"/>
        </w:rPr>
        <w:t>:</w:t>
      </w:r>
    </w:p>
    <w:p w:rsidR="0091730E" w:rsidRPr="00000A00" w:rsidRDefault="0091730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>Duas provas individuais (P1 e P2)</w:t>
      </w:r>
      <w:r w:rsidR="009D6CAE" w:rsidRPr="00000A00">
        <w:rPr>
          <w:rFonts w:ascii="Arial" w:hAnsi="Arial" w:cs="Arial"/>
          <w:snapToGrid/>
          <w:sz w:val="22"/>
          <w:szCs w:val="22"/>
        </w:rPr>
        <w:t xml:space="preserve"> – peso </w:t>
      </w:r>
      <w:r w:rsidR="00982812" w:rsidRPr="00000A00">
        <w:rPr>
          <w:rFonts w:ascii="Arial" w:hAnsi="Arial" w:cs="Arial"/>
          <w:snapToGrid/>
          <w:sz w:val="22"/>
          <w:szCs w:val="22"/>
        </w:rPr>
        <w:t>50%</w:t>
      </w:r>
      <w:r w:rsidR="00802E48" w:rsidRPr="00000A00">
        <w:rPr>
          <w:rFonts w:ascii="Arial" w:hAnsi="Arial" w:cs="Arial"/>
          <w:snapToGrid/>
          <w:sz w:val="22"/>
          <w:szCs w:val="22"/>
        </w:rPr>
        <w:t xml:space="preserve"> cada</w:t>
      </w:r>
      <w:r w:rsidR="00380BDF" w:rsidRPr="00000A00">
        <w:rPr>
          <w:rFonts w:ascii="Arial" w:hAnsi="Arial" w:cs="Arial"/>
          <w:snapToGrid/>
          <w:sz w:val="22"/>
          <w:szCs w:val="22"/>
        </w:rPr>
        <w:t xml:space="preserve"> prova</w:t>
      </w:r>
    </w:p>
    <w:p w:rsidR="0091730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>Cálculo</w:t>
      </w:r>
      <w:r w:rsidR="00982812" w:rsidRPr="00000A00">
        <w:rPr>
          <w:rFonts w:ascii="Arial" w:hAnsi="Arial" w:cs="Arial"/>
          <w:snapToGrid/>
          <w:sz w:val="22"/>
          <w:szCs w:val="22"/>
        </w:rPr>
        <w:t xml:space="preserve"> da média</w:t>
      </w:r>
      <w:r w:rsidR="0091730E" w:rsidRPr="00000A00">
        <w:rPr>
          <w:rFonts w:ascii="Arial" w:hAnsi="Arial" w:cs="Arial"/>
          <w:snapToGrid/>
          <w:sz w:val="22"/>
          <w:szCs w:val="22"/>
        </w:rPr>
        <w:t xml:space="preserve">: </w:t>
      </w:r>
      <w:r w:rsidR="00982812" w:rsidRPr="00000A00">
        <w:rPr>
          <w:rFonts w:ascii="Arial" w:hAnsi="Arial" w:cs="Arial"/>
          <w:snapToGrid/>
          <w:sz w:val="22"/>
          <w:szCs w:val="22"/>
        </w:rPr>
        <w:t xml:space="preserve"> (P1 + P2)/2</w:t>
      </w:r>
    </w:p>
    <w:p w:rsidR="00FC33BF" w:rsidRDefault="00D202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 w:val="22"/>
          <w:szCs w:val="22"/>
        </w:rPr>
      </w:pPr>
      <w:r w:rsidRPr="00FC33BF">
        <w:rPr>
          <w:rFonts w:ascii="Arial" w:hAnsi="Arial" w:cs="Arial"/>
          <w:snapToGrid/>
          <w:sz w:val="22"/>
          <w:szCs w:val="22"/>
        </w:rPr>
        <w:t>Será realizada u</w:t>
      </w:r>
      <w:r w:rsidR="00982812" w:rsidRPr="00FC33BF">
        <w:rPr>
          <w:rFonts w:ascii="Arial" w:hAnsi="Arial" w:cs="Arial"/>
          <w:snapToGrid/>
          <w:sz w:val="22"/>
          <w:szCs w:val="22"/>
        </w:rPr>
        <w:t>ma reavaliação no final do semestre para alunos</w:t>
      </w:r>
      <w:r w:rsidRPr="00FC33BF">
        <w:rPr>
          <w:rFonts w:ascii="Arial" w:hAnsi="Arial" w:cs="Arial"/>
          <w:snapToGrid/>
          <w:sz w:val="22"/>
          <w:szCs w:val="22"/>
        </w:rPr>
        <w:t xml:space="preserve"> que não obtiveram média 6,0. </w:t>
      </w:r>
    </w:p>
    <w:p w:rsidR="009D6CAE" w:rsidRDefault="004E129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 w:val="22"/>
          <w:szCs w:val="22"/>
        </w:rPr>
      </w:pPr>
      <w:r w:rsidRPr="00FC33BF">
        <w:rPr>
          <w:rFonts w:ascii="Arial" w:hAnsi="Arial" w:cs="Arial"/>
          <w:snapToGrid/>
          <w:sz w:val="22"/>
          <w:szCs w:val="22"/>
        </w:rPr>
        <w:t xml:space="preserve">Nesta reavaliação o aluno poderá </w:t>
      </w:r>
      <w:r w:rsidR="00FC33BF">
        <w:rPr>
          <w:rFonts w:ascii="Arial" w:hAnsi="Arial" w:cs="Arial"/>
          <w:snapToGrid/>
          <w:sz w:val="22"/>
          <w:szCs w:val="22"/>
        </w:rPr>
        <w:t xml:space="preserve">optar por </w:t>
      </w:r>
      <w:r w:rsidRPr="00FC33BF">
        <w:rPr>
          <w:rFonts w:ascii="Arial" w:hAnsi="Arial" w:cs="Arial"/>
          <w:snapToGrid/>
          <w:sz w:val="22"/>
          <w:szCs w:val="22"/>
        </w:rPr>
        <w:t>recuperar uma avaliação na qual obteve nota inferior a 6,0</w:t>
      </w:r>
      <w:r w:rsidR="00982812" w:rsidRPr="00FC33BF">
        <w:rPr>
          <w:rFonts w:ascii="Arial" w:hAnsi="Arial" w:cs="Arial"/>
          <w:snapToGrid/>
          <w:sz w:val="22"/>
          <w:szCs w:val="22"/>
        </w:rPr>
        <w:t xml:space="preserve">. </w:t>
      </w:r>
      <w:r w:rsidR="00FC33BF">
        <w:rPr>
          <w:rFonts w:ascii="Arial" w:hAnsi="Arial" w:cs="Arial"/>
          <w:snapToGrid/>
          <w:sz w:val="22"/>
          <w:szCs w:val="22"/>
        </w:rPr>
        <w:t>Nesse caso a</w:t>
      </w:r>
      <w:r w:rsidRPr="00FC33BF">
        <w:rPr>
          <w:rFonts w:ascii="Arial" w:hAnsi="Arial" w:cs="Arial"/>
          <w:snapToGrid/>
          <w:sz w:val="22"/>
          <w:szCs w:val="22"/>
        </w:rPr>
        <w:t xml:space="preserve"> nota final do aluno será a nova média </w:t>
      </w:r>
      <w:r w:rsidR="00523A87" w:rsidRPr="00FC33BF">
        <w:rPr>
          <w:rFonts w:ascii="Arial" w:hAnsi="Arial" w:cs="Arial"/>
          <w:snapToGrid/>
          <w:sz w:val="22"/>
          <w:szCs w:val="22"/>
        </w:rPr>
        <w:t>calculada com a substituição</w:t>
      </w:r>
      <w:r w:rsidRPr="00FC33BF">
        <w:rPr>
          <w:rFonts w:ascii="Arial" w:hAnsi="Arial" w:cs="Arial"/>
          <w:snapToGrid/>
          <w:sz w:val="22"/>
          <w:szCs w:val="22"/>
        </w:rPr>
        <w:t xml:space="preserve"> </w:t>
      </w:r>
      <w:r w:rsidR="00523A87" w:rsidRPr="00FC33BF">
        <w:rPr>
          <w:rFonts w:ascii="Arial" w:hAnsi="Arial" w:cs="Arial"/>
          <w:snapToGrid/>
          <w:sz w:val="22"/>
          <w:szCs w:val="22"/>
        </w:rPr>
        <w:t>d</w:t>
      </w:r>
      <w:r w:rsidRPr="00FC33BF">
        <w:rPr>
          <w:rFonts w:ascii="Arial" w:hAnsi="Arial" w:cs="Arial"/>
          <w:snapToGrid/>
          <w:sz w:val="22"/>
          <w:szCs w:val="22"/>
        </w:rPr>
        <w:t>a nota da avaliação recuperada pela nota obtida pelo aluno na reavaliação.</w:t>
      </w:r>
    </w:p>
    <w:p w:rsidR="00FC33BF" w:rsidRPr="00FC33BF" w:rsidRDefault="00FC33BF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O aluno poderá optar por realizar, como reavaliação, uma prova com todo o conteúdo da matéria como reavaliação cujo resultado será a nota final na disciplina.</w:t>
      </w:r>
    </w:p>
    <w:p w:rsidR="005316E2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* </w:t>
      </w:r>
      <w:r w:rsidRPr="00D75BAD">
        <w:rPr>
          <w:rFonts w:ascii="Arial" w:hAnsi="Arial" w:cs="Arial"/>
          <w:snapToGrid/>
          <w:sz w:val="22"/>
          <w:szCs w:val="22"/>
        </w:rPr>
        <w:t xml:space="preserve">O aluno terá direito a recuperar </w:t>
      </w:r>
      <w:r w:rsidRPr="00D75BAD">
        <w:rPr>
          <w:rFonts w:ascii="Arial" w:hAnsi="Arial" w:cs="Arial"/>
          <w:b/>
          <w:snapToGrid/>
          <w:sz w:val="22"/>
          <w:szCs w:val="22"/>
          <w:u w:val="single"/>
        </w:rPr>
        <w:t>uma</w:t>
      </w:r>
      <w:r w:rsidRPr="00D75BAD">
        <w:rPr>
          <w:rFonts w:ascii="Arial" w:hAnsi="Arial" w:cs="Arial"/>
          <w:snapToGrid/>
          <w:sz w:val="22"/>
          <w:szCs w:val="22"/>
        </w:rPr>
        <w:t xml:space="preserve"> prova, </w:t>
      </w:r>
      <w:r w:rsidRPr="00D75BAD">
        <w:rPr>
          <w:rFonts w:ascii="Arial" w:hAnsi="Arial" w:cs="Arial"/>
          <w:b/>
          <w:snapToGrid/>
          <w:sz w:val="22"/>
          <w:szCs w:val="22"/>
          <w:u w:val="single"/>
        </w:rPr>
        <w:t>não realizada</w:t>
      </w:r>
      <w:r w:rsidRPr="00D75BAD">
        <w:rPr>
          <w:rFonts w:ascii="Arial" w:hAnsi="Arial" w:cs="Arial"/>
          <w:snapToGrid/>
          <w:sz w:val="22"/>
          <w:szCs w:val="22"/>
        </w:rPr>
        <w:t xml:space="preserve">, na última </w:t>
      </w:r>
      <w:r w:rsidRPr="00D75BAD">
        <w:rPr>
          <w:rFonts w:ascii="Arial" w:hAnsi="Arial" w:cs="Arial"/>
          <w:b/>
          <w:snapToGrid/>
          <w:sz w:val="22"/>
          <w:szCs w:val="22"/>
          <w:u w:val="single"/>
        </w:rPr>
        <w:t>semana de aula</w:t>
      </w:r>
      <w:r w:rsidRPr="00D75BAD">
        <w:rPr>
          <w:rFonts w:ascii="Arial" w:hAnsi="Arial" w:cs="Arial"/>
          <w:snapToGrid/>
          <w:sz w:val="22"/>
          <w:szCs w:val="22"/>
        </w:rPr>
        <w:t xml:space="preserve"> do semestre vigente com </w:t>
      </w:r>
      <w:r w:rsidRPr="00D75BAD">
        <w:rPr>
          <w:rFonts w:ascii="Arial" w:hAnsi="Arial" w:cs="Arial"/>
          <w:b/>
          <w:snapToGrid/>
          <w:sz w:val="22"/>
          <w:szCs w:val="22"/>
          <w:u w:val="single"/>
        </w:rPr>
        <w:t xml:space="preserve">conteúdo </w:t>
      </w:r>
      <w:r w:rsidR="00A34B74" w:rsidRPr="00D75BAD">
        <w:rPr>
          <w:rFonts w:ascii="Arial" w:hAnsi="Arial" w:cs="Arial"/>
          <w:b/>
          <w:snapToGrid/>
          <w:sz w:val="22"/>
          <w:szCs w:val="22"/>
          <w:u w:val="single"/>
        </w:rPr>
        <w:t>respectivo a essa prova</w:t>
      </w:r>
      <w:r w:rsidRPr="00D75BAD">
        <w:rPr>
          <w:rFonts w:ascii="Arial" w:hAnsi="Arial" w:cs="Arial"/>
          <w:snapToGrid/>
          <w:sz w:val="22"/>
          <w:szCs w:val="22"/>
        </w:rPr>
        <w:t xml:space="preserve"> e peso </w:t>
      </w:r>
      <w:r w:rsidRPr="00D75BAD">
        <w:rPr>
          <w:rFonts w:ascii="Arial" w:hAnsi="Arial" w:cs="Arial"/>
          <w:b/>
          <w:snapToGrid/>
          <w:sz w:val="22"/>
          <w:szCs w:val="22"/>
          <w:u w:val="single"/>
        </w:rPr>
        <w:t>correspondente</w:t>
      </w:r>
      <w:r w:rsidRPr="00D75BAD">
        <w:rPr>
          <w:rFonts w:ascii="Arial" w:hAnsi="Arial" w:cs="Arial"/>
          <w:snapToGrid/>
          <w:sz w:val="22"/>
          <w:szCs w:val="22"/>
        </w:rPr>
        <w:t xml:space="preserve"> a avaliação perdida pelo aluno.</w:t>
      </w:r>
    </w:p>
    <w:p w:rsidR="00362C23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>Observação:</w:t>
      </w:r>
      <w:r w:rsidRPr="00000A00">
        <w:rPr>
          <w:rFonts w:ascii="Arial" w:hAnsi="Arial" w:cs="Arial"/>
          <w:snapToGrid/>
          <w:sz w:val="22"/>
          <w:szCs w:val="22"/>
        </w:rPr>
        <w:t xml:space="preserve"> Demais ausências deverão ser justificadas na CORAC no </w:t>
      </w:r>
      <w:r w:rsidR="00362C23" w:rsidRPr="00000A00">
        <w:rPr>
          <w:rFonts w:ascii="Arial" w:hAnsi="Arial" w:cs="Arial"/>
          <w:b/>
          <w:snapToGrid/>
          <w:sz w:val="22"/>
          <w:szCs w:val="22"/>
          <w:u w:val="single"/>
        </w:rPr>
        <w:t>prazo de até 02 (dois) dias úteis após a data de término</w:t>
      </w: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 xml:space="preserve"> da ausência. </w:t>
      </w:r>
      <w:r w:rsidRPr="00000A00">
        <w:rPr>
          <w:rFonts w:ascii="Arial" w:hAnsi="Arial" w:cs="Arial"/>
          <w:snapToGrid/>
          <w:sz w:val="22"/>
          <w:szCs w:val="22"/>
        </w:rPr>
        <w:t xml:space="preserve"> Pedidos pos</w:t>
      </w:r>
      <w:r w:rsidR="00362C23" w:rsidRPr="00000A00">
        <w:rPr>
          <w:rFonts w:ascii="Arial" w:hAnsi="Arial" w:cs="Arial"/>
          <w:snapToGrid/>
          <w:sz w:val="22"/>
          <w:szCs w:val="22"/>
        </w:rPr>
        <w:t xml:space="preserve">teriores a este prazo não serão </w:t>
      </w:r>
      <w:r w:rsidRPr="00000A00">
        <w:rPr>
          <w:rFonts w:ascii="Arial" w:hAnsi="Arial" w:cs="Arial"/>
          <w:snapToGrid/>
          <w:sz w:val="22"/>
          <w:szCs w:val="22"/>
        </w:rPr>
        <w:t>considerados.</w:t>
      </w:r>
    </w:p>
    <w:p w:rsidR="005316E2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napToGrid/>
          <w:sz w:val="22"/>
          <w:szCs w:val="22"/>
        </w:rPr>
      </w:pPr>
      <w:r w:rsidRPr="00000A00">
        <w:rPr>
          <w:rFonts w:ascii="Arial" w:hAnsi="Arial" w:cs="Arial"/>
          <w:b/>
          <w:i/>
          <w:snapToGrid/>
          <w:sz w:val="22"/>
          <w:szCs w:val="22"/>
        </w:rPr>
        <w:t>Legislação – Justificativa da Falta</w:t>
      </w:r>
    </w:p>
    <w:p w:rsidR="00545F43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Decreto-Lei 715-69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9D6CAE" w:rsidRPr="00000A00">
        <w:rPr>
          <w:rFonts w:ascii="Arial" w:hAnsi="Arial" w:cs="Arial"/>
          <w:snapToGrid/>
          <w:sz w:val="22"/>
          <w:szCs w:val="22"/>
        </w:rPr>
        <w:t>- r</w:t>
      </w:r>
      <w:r w:rsidRPr="00000A00">
        <w:rPr>
          <w:rFonts w:ascii="Arial" w:hAnsi="Arial" w:cs="Arial"/>
          <w:snapToGrid/>
          <w:sz w:val="22"/>
          <w:szCs w:val="22"/>
        </w:rPr>
        <w:t>elativo à prestação do Serviço Militar (Exército, Marinha e Aeronáutica)</w:t>
      </w:r>
      <w:r w:rsidR="009D6CAE" w:rsidRPr="00000A00">
        <w:rPr>
          <w:rFonts w:ascii="Arial" w:hAnsi="Arial" w:cs="Arial"/>
          <w:snapToGrid/>
          <w:sz w:val="22"/>
          <w:szCs w:val="22"/>
        </w:rPr>
        <w:t>.</w:t>
      </w:r>
    </w:p>
    <w:p w:rsidR="00545F43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Lei 9.615/98</w:t>
      </w:r>
      <w:r w:rsidR="009D6CAE" w:rsidRPr="00000A00">
        <w:rPr>
          <w:rFonts w:ascii="Arial" w:hAnsi="Arial" w:cs="Arial"/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Lei 5.869/79</w:t>
      </w:r>
      <w:r w:rsidRPr="00000A00">
        <w:rPr>
          <w:rFonts w:ascii="Arial" w:hAnsi="Arial" w:cs="Arial"/>
          <w:snapToGrid/>
          <w:sz w:val="22"/>
          <w:szCs w:val="22"/>
        </w:rPr>
        <w:t xml:space="preserve"> - convocação para audiência judicial.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napToGrid/>
          <w:sz w:val="22"/>
          <w:szCs w:val="22"/>
        </w:rPr>
      </w:pPr>
      <w:r w:rsidRPr="00000A00">
        <w:rPr>
          <w:rFonts w:ascii="Arial" w:hAnsi="Arial" w:cs="Arial"/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Decreto-Lei 1,044/69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F61B1A" w:rsidRPr="00000A00">
        <w:rPr>
          <w:rFonts w:ascii="Arial" w:hAnsi="Arial" w:cs="Arial"/>
          <w:snapToGrid/>
          <w:sz w:val="22"/>
          <w:szCs w:val="22"/>
        </w:rPr>
        <w:t>-</w:t>
      </w:r>
      <w:r w:rsidRPr="00000A00">
        <w:rPr>
          <w:rFonts w:ascii="Arial" w:hAnsi="Arial" w:cs="Arial"/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Lei 6.202/75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F61B1A" w:rsidRPr="00000A00">
        <w:rPr>
          <w:rFonts w:ascii="Arial" w:hAnsi="Arial" w:cs="Arial"/>
          <w:snapToGrid/>
          <w:sz w:val="22"/>
          <w:szCs w:val="22"/>
        </w:rPr>
        <w:t>-</w:t>
      </w:r>
      <w:r w:rsidRPr="00000A00">
        <w:rPr>
          <w:rFonts w:ascii="Arial" w:hAnsi="Arial" w:cs="Arial"/>
          <w:snapToGrid/>
          <w:sz w:val="22"/>
          <w:szCs w:val="22"/>
        </w:rPr>
        <w:t xml:space="preserve"> amparo a gestação, parto ou puerpério.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Decreto-Lei 57.654/66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F61B1A" w:rsidRPr="00000A00">
        <w:rPr>
          <w:rFonts w:ascii="Arial" w:hAnsi="Arial" w:cs="Arial"/>
          <w:snapToGrid/>
          <w:sz w:val="22"/>
          <w:szCs w:val="22"/>
        </w:rPr>
        <w:t>-</w:t>
      </w:r>
      <w:r w:rsidRPr="00000A00">
        <w:rPr>
          <w:rFonts w:ascii="Arial" w:hAnsi="Arial" w:cs="Arial"/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Lei 10.412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F61B1A" w:rsidRPr="00000A00">
        <w:rPr>
          <w:rFonts w:ascii="Arial" w:hAnsi="Arial" w:cs="Arial"/>
          <w:snapToGrid/>
          <w:sz w:val="22"/>
          <w:szCs w:val="22"/>
        </w:rPr>
        <w:t>-</w:t>
      </w:r>
      <w:r w:rsidRPr="00000A00">
        <w:rPr>
          <w:rFonts w:ascii="Arial" w:hAnsi="Arial" w:cs="Arial"/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82812" w:rsidRPr="00000A00" w:rsidRDefault="00545F43" w:rsidP="0098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000A00">
        <w:rPr>
          <w:rFonts w:ascii="Arial" w:hAnsi="Arial" w:cs="Arial"/>
          <w:szCs w:val="24"/>
        </w:rPr>
        <w:t>6.</w:t>
      </w:r>
      <w:r w:rsidR="0075668E" w:rsidRPr="00000A00">
        <w:rPr>
          <w:rFonts w:ascii="Arial" w:hAnsi="Arial" w:cs="Arial"/>
          <w:szCs w:val="24"/>
        </w:rPr>
        <w:t xml:space="preserve">Bibliografia básica: </w:t>
      </w:r>
    </w:p>
    <w:p w:rsidR="00D726DA" w:rsidRPr="00FC33BF" w:rsidRDefault="00982812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FC33BF">
        <w:rPr>
          <w:rFonts w:ascii="Arial" w:hAnsi="Arial" w:cs="Arial"/>
          <w:sz w:val="22"/>
          <w:szCs w:val="22"/>
        </w:rPr>
        <w:t>ÇENGEL, Y. A.</w:t>
      </w:r>
      <w:r w:rsidR="007714DC" w:rsidRPr="00FC33BF">
        <w:rPr>
          <w:rFonts w:ascii="Arial" w:hAnsi="Arial" w:cs="Arial"/>
          <w:sz w:val="22"/>
          <w:szCs w:val="22"/>
        </w:rPr>
        <w:t>; GHAJAR, A. J.</w:t>
      </w:r>
      <w:r w:rsidRPr="00FC33BF">
        <w:rPr>
          <w:rFonts w:ascii="Arial" w:hAnsi="Arial" w:cs="Arial"/>
          <w:sz w:val="22"/>
          <w:szCs w:val="22"/>
        </w:rPr>
        <w:t xml:space="preserve"> </w:t>
      </w:r>
      <w:r w:rsidRPr="00FC33BF">
        <w:rPr>
          <w:rFonts w:ascii="Arial" w:hAnsi="Arial" w:cs="Arial"/>
          <w:b/>
          <w:bCs/>
          <w:sz w:val="22"/>
          <w:szCs w:val="22"/>
        </w:rPr>
        <w:t>Transferência de calor e massa</w:t>
      </w:r>
      <w:r w:rsidRPr="00FC33BF">
        <w:rPr>
          <w:rFonts w:ascii="Arial" w:hAnsi="Arial" w:cs="Arial"/>
          <w:sz w:val="22"/>
          <w:szCs w:val="22"/>
        </w:rPr>
        <w:t xml:space="preserve">. 3. ed. São Paulo: McGraw-Hill/Artmed, 2009. </w:t>
      </w:r>
    </w:p>
    <w:p w:rsidR="004C011E" w:rsidRPr="00FC33BF" w:rsidRDefault="004C011E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FC33BF">
        <w:rPr>
          <w:rFonts w:ascii="Arial" w:hAnsi="Arial" w:cs="Arial"/>
          <w:sz w:val="22"/>
          <w:szCs w:val="22"/>
        </w:rPr>
        <w:t xml:space="preserve">INCROPERA, F. P.; DEWITT, D. P. </w:t>
      </w:r>
      <w:r w:rsidRPr="00FC33BF">
        <w:rPr>
          <w:rFonts w:ascii="Arial" w:hAnsi="Arial" w:cs="Arial"/>
          <w:b/>
          <w:bCs/>
          <w:sz w:val="22"/>
          <w:szCs w:val="22"/>
        </w:rPr>
        <w:t>Fundamentos de transferência de calor e massa</w:t>
      </w:r>
      <w:r w:rsidRPr="00FC33BF">
        <w:rPr>
          <w:rFonts w:ascii="Arial" w:hAnsi="Arial" w:cs="Arial"/>
          <w:sz w:val="22"/>
          <w:szCs w:val="22"/>
        </w:rPr>
        <w:t>. 6. ed. Rio de Janeiro: LTC, 2008.</w:t>
      </w:r>
    </w:p>
    <w:p w:rsidR="00EE5670" w:rsidRPr="00000A00" w:rsidRDefault="00EE5670" w:rsidP="00EE56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FC33BF">
        <w:rPr>
          <w:rFonts w:ascii="Arial" w:hAnsi="Arial" w:cs="Arial"/>
          <w:sz w:val="22"/>
          <w:szCs w:val="22"/>
        </w:rPr>
        <w:t xml:space="preserve">KREITH, F.; BOHN, M. </w:t>
      </w:r>
      <w:r w:rsidRPr="00FC33BF">
        <w:rPr>
          <w:rFonts w:ascii="Arial" w:hAnsi="Arial" w:cs="Arial"/>
          <w:b/>
          <w:bCs/>
          <w:sz w:val="22"/>
          <w:szCs w:val="22"/>
        </w:rPr>
        <w:t>Princípios da transferência de calor</w:t>
      </w:r>
      <w:r w:rsidRPr="00FC33BF">
        <w:rPr>
          <w:rFonts w:ascii="Arial" w:hAnsi="Arial" w:cs="Arial"/>
          <w:sz w:val="22"/>
          <w:szCs w:val="22"/>
        </w:rPr>
        <w:t>. 1. ed. São Paulo: Editora Thomson Pioneira, 2003.</w:t>
      </w:r>
    </w:p>
    <w:p w:rsidR="000F1993" w:rsidRPr="00000A00" w:rsidRDefault="000F1993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C011E" w:rsidRPr="00000A00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000A00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EE5670" w:rsidRPr="00FC33BF" w:rsidRDefault="00EE5670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FC33BF">
        <w:rPr>
          <w:rFonts w:ascii="Arial" w:hAnsi="Arial" w:cs="Arial"/>
          <w:sz w:val="22"/>
          <w:szCs w:val="22"/>
        </w:rPr>
        <w:t xml:space="preserve">ARAÚJO, E. C. C. </w:t>
      </w:r>
      <w:r w:rsidRPr="00FC33BF">
        <w:rPr>
          <w:rFonts w:ascii="Arial" w:hAnsi="Arial" w:cs="Arial"/>
          <w:b/>
          <w:bCs/>
          <w:sz w:val="22"/>
          <w:szCs w:val="22"/>
        </w:rPr>
        <w:t>Trocadores de calor</w:t>
      </w:r>
      <w:r w:rsidRPr="00FC33BF">
        <w:rPr>
          <w:rFonts w:ascii="Arial" w:hAnsi="Arial" w:cs="Arial"/>
          <w:sz w:val="22"/>
          <w:szCs w:val="22"/>
        </w:rPr>
        <w:t xml:space="preserve">. 1. ed. São Carlos: Editora </w:t>
      </w:r>
      <w:proofErr w:type="spellStart"/>
      <w:r w:rsidRPr="00FC33BF">
        <w:rPr>
          <w:rFonts w:ascii="Arial" w:hAnsi="Arial" w:cs="Arial"/>
          <w:sz w:val="22"/>
          <w:szCs w:val="22"/>
        </w:rPr>
        <w:t>Edufscar</w:t>
      </w:r>
      <w:proofErr w:type="spellEnd"/>
      <w:r w:rsidRPr="00FC33BF">
        <w:rPr>
          <w:rFonts w:ascii="Arial" w:hAnsi="Arial" w:cs="Arial"/>
          <w:sz w:val="22"/>
          <w:szCs w:val="22"/>
        </w:rPr>
        <w:t>, 2002.</w:t>
      </w:r>
    </w:p>
    <w:p w:rsidR="004C011E" w:rsidRPr="00FC33BF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FC33BF">
        <w:rPr>
          <w:rFonts w:ascii="Arial" w:hAnsi="Arial" w:cs="Arial"/>
          <w:sz w:val="22"/>
          <w:szCs w:val="22"/>
        </w:rPr>
        <w:t xml:space="preserve">GHIZZE, A. </w:t>
      </w:r>
      <w:r w:rsidRPr="00FC33BF">
        <w:rPr>
          <w:rFonts w:ascii="Arial" w:hAnsi="Arial" w:cs="Arial"/>
          <w:b/>
          <w:bCs/>
          <w:sz w:val="22"/>
          <w:szCs w:val="22"/>
        </w:rPr>
        <w:t>Manual de trocadores de calor, vasos e tanques</w:t>
      </w:r>
      <w:r w:rsidRPr="00FC33BF">
        <w:rPr>
          <w:rFonts w:ascii="Arial" w:hAnsi="Arial" w:cs="Arial"/>
          <w:sz w:val="22"/>
          <w:szCs w:val="22"/>
        </w:rPr>
        <w:t xml:space="preserve">. 1. ed. São Paulo: Editora </w:t>
      </w:r>
      <w:proofErr w:type="spellStart"/>
      <w:r w:rsidRPr="00FC33BF">
        <w:rPr>
          <w:rFonts w:ascii="Arial" w:hAnsi="Arial" w:cs="Arial"/>
          <w:sz w:val="22"/>
          <w:szCs w:val="22"/>
        </w:rPr>
        <w:t>Ibrasa</w:t>
      </w:r>
      <w:proofErr w:type="spellEnd"/>
      <w:r w:rsidRPr="00FC33BF">
        <w:rPr>
          <w:rFonts w:ascii="Arial" w:hAnsi="Arial" w:cs="Arial"/>
          <w:sz w:val="22"/>
          <w:szCs w:val="22"/>
        </w:rPr>
        <w:t>, 1989.</w:t>
      </w:r>
    </w:p>
    <w:p w:rsidR="004C011E" w:rsidRPr="00FC33BF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FC33BF">
        <w:rPr>
          <w:rFonts w:ascii="Arial" w:hAnsi="Arial" w:cs="Arial"/>
          <w:sz w:val="22"/>
          <w:szCs w:val="22"/>
          <w:lang w:val="en-US"/>
        </w:rPr>
        <w:t xml:space="preserve">KAKAC, S. </w:t>
      </w:r>
      <w:r w:rsidRPr="00FC33BF">
        <w:rPr>
          <w:rFonts w:ascii="Arial" w:hAnsi="Arial" w:cs="Arial"/>
          <w:b/>
          <w:bCs/>
          <w:sz w:val="22"/>
          <w:szCs w:val="22"/>
          <w:lang w:val="en-US"/>
        </w:rPr>
        <w:t>Heat Exchangers – Selection, Rating, and Thermal Design</w:t>
      </w:r>
      <w:r w:rsidRPr="00FC33BF">
        <w:rPr>
          <w:rFonts w:ascii="Arial" w:hAnsi="Arial" w:cs="Arial"/>
          <w:sz w:val="22"/>
          <w:szCs w:val="22"/>
          <w:lang w:val="en-US"/>
        </w:rPr>
        <w:t>. 2. ed. IE – CRC Press, 2002.</w:t>
      </w:r>
    </w:p>
    <w:p w:rsidR="004C011E" w:rsidRPr="00000A00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FC33BF">
        <w:rPr>
          <w:rFonts w:ascii="Arial" w:hAnsi="Arial" w:cs="Arial"/>
          <w:sz w:val="22"/>
          <w:szCs w:val="22"/>
          <w:lang w:val="en-US"/>
        </w:rPr>
        <w:t xml:space="preserve">SHAH, R.K.; SEKULIC, D. P. </w:t>
      </w:r>
      <w:r w:rsidRPr="00FC33BF">
        <w:rPr>
          <w:rFonts w:ascii="Arial" w:hAnsi="Arial" w:cs="Arial"/>
          <w:b/>
          <w:bCs/>
          <w:sz w:val="22"/>
          <w:szCs w:val="22"/>
          <w:lang w:val="en-US"/>
        </w:rPr>
        <w:t>Fundamentals of Heat Exchangers Design</w:t>
      </w:r>
      <w:r w:rsidRPr="00FC33BF">
        <w:rPr>
          <w:rFonts w:ascii="Arial" w:hAnsi="Arial" w:cs="Arial"/>
          <w:sz w:val="22"/>
          <w:szCs w:val="22"/>
          <w:lang w:val="en-US"/>
        </w:rPr>
        <w:t xml:space="preserve">. </w:t>
      </w:r>
      <w:r w:rsidRPr="00FC33BF">
        <w:rPr>
          <w:rFonts w:ascii="Arial" w:hAnsi="Arial" w:cs="Arial"/>
          <w:sz w:val="22"/>
          <w:szCs w:val="22"/>
        </w:rPr>
        <w:t xml:space="preserve">1. ed. New York: John </w:t>
      </w:r>
      <w:proofErr w:type="spellStart"/>
      <w:r w:rsidRPr="00FC33BF">
        <w:rPr>
          <w:rFonts w:ascii="Arial" w:hAnsi="Arial" w:cs="Arial"/>
          <w:sz w:val="22"/>
          <w:szCs w:val="22"/>
        </w:rPr>
        <w:t>Wiley</w:t>
      </w:r>
      <w:proofErr w:type="spellEnd"/>
      <w:r w:rsidRPr="00FC33BF">
        <w:rPr>
          <w:rFonts w:ascii="Arial" w:hAnsi="Arial" w:cs="Arial"/>
          <w:sz w:val="22"/>
          <w:szCs w:val="22"/>
        </w:rPr>
        <w:t xml:space="preserve"> Professional, 2003.</w:t>
      </w:r>
    </w:p>
    <w:p w:rsidR="004C011E" w:rsidRPr="00FC33BF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2"/>
          <w:szCs w:val="22"/>
          <w:lang w:val="en-US"/>
        </w:rPr>
      </w:pPr>
      <w:r w:rsidRPr="00FC33BF">
        <w:rPr>
          <w:rFonts w:ascii="Arial" w:hAnsi="Arial" w:cs="Arial"/>
          <w:sz w:val="22"/>
          <w:szCs w:val="22"/>
          <w:lang w:val="en-US"/>
        </w:rPr>
        <w:t xml:space="preserve">FRAAS, A.P. </w:t>
      </w:r>
      <w:r w:rsidRPr="00FC33BF">
        <w:rPr>
          <w:rFonts w:ascii="Arial" w:hAnsi="Arial" w:cs="Arial"/>
          <w:b/>
          <w:bCs/>
          <w:sz w:val="22"/>
          <w:szCs w:val="22"/>
          <w:lang w:val="en-US"/>
        </w:rPr>
        <w:t>Heat Exchangers Design</w:t>
      </w:r>
      <w:r w:rsidRPr="00FC33BF">
        <w:rPr>
          <w:rFonts w:ascii="Arial" w:hAnsi="Arial" w:cs="Arial"/>
          <w:sz w:val="22"/>
          <w:szCs w:val="22"/>
          <w:lang w:val="en-US"/>
        </w:rPr>
        <w:t>. 2. ed. New York: John Wiley Professional, 1989.</w:t>
      </w:r>
    </w:p>
    <w:p w:rsidR="004C011E" w:rsidRPr="004C011E" w:rsidRDefault="004C011E" w:rsidP="004C011E">
      <w:pPr>
        <w:pStyle w:val="Default"/>
        <w:rPr>
          <w:sz w:val="23"/>
          <w:szCs w:val="23"/>
          <w:lang w:val="en-US"/>
        </w:rPr>
      </w:pPr>
    </w:p>
    <w:p w:rsidR="00F54AFB" w:rsidRPr="005316E2" w:rsidRDefault="00F54AFB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>
        <w:rPr>
          <w:rFonts w:ascii="Verdana" w:hAnsi="Verdana"/>
          <w:sz w:val="22"/>
          <w:szCs w:val="22"/>
        </w:rPr>
        <w:br w:type="page"/>
      </w:r>
      <w:r>
        <w:rPr>
          <w:b/>
          <w:snapToGrid w:val="0"/>
          <w:sz w:val="22"/>
          <w:szCs w:val="22"/>
          <w:lang w:eastAsia="pt-BR"/>
        </w:rPr>
        <w:lastRenderedPageBreak/>
        <w:t>CRONOGRAMA</w:t>
      </w:r>
    </w:p>
    <w:p w:rsidR="00F54AFB" w:rsidRPr="005316E2" w:rsidRDefault="00F54AFB" w:rsidP="00F54AFB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126DAD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MEC/SETEC</w:t>
      </w:r>
    </w:p>
    <w:p w:rsidR="00126DAD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Pró-reitoria de Ensino</w:t>
      </w:r>
    </w:p>
    <w:p w:rsidR="00126DAD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126DAD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Curso: </w:t>
      </w:r>
      <w:r w:rsidRPr="00000A00">
        <w:rPr>
          <w:rFonts w:ascii="Arial" w:hAnsi="Arial" w:cs="Arial"/>
          <w:bCs/>
          <w:sz w:val="22"/>
          <w:szCs w:val="22"/>
        </w:rPr>
        <w:t>Bacharelado em Engenharia Mecânica</w:t>
      </w:r>
    </w:p>
    <w:p w:rsidR="00126DAD" w:rsidRPr="00000A00" w:rsidRDefault="00126DAD" w:rsidP="00126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b w:val="0"/>
          <w:snapToGrid w:val="0"/>
          <w:sz w:val="22"/>
          <w:szCs w:val="22"/>
          <w:lang w:eastAsia="pt-BR"/>
        </w:rPr>
        <w:t>Disciplina:     Sistemas térmicos</w:t>
      </w:r>
    </w:p>
    <w:p w:rsidR="00126DAD" w:rsidRPr="00000A00" w:rsidRDefault="00126DAD" w:rsidP="00126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b w:val="0"/>
          <w:snapToGrid w:val="0"/>
          <w:sz w:val="22"/>
          <w:szCs w:val="22"/>
          <w:lang w:eastAsia="pt-BR"/>
        </w:rPr>
        <w:t>Turma: 7E</w:t>
      </w:r>
    </w:p>
    <w:p w:rsidR="00126DAD" w:rsidRPr="00000A00" w:rsidRDefault="00126DAD" w:rsidP="00126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b w:val="0"/>
          <w:snapToGrid w:val="0"/>
          <w:sz w:val="22"/>
          <w:szCs w:val="22"/>
          <w:lang w:eastAsia="pt-BR"/>
        </w:rPr>
        <w:t>Professor: João Antônio Pinto de Oliveira (japo@sapucaia.ifsul.edu.br)</w:t>
      </w:r>
    </w:p>
    <w:p w:rsidR="002E717A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Carga horária total: 40 horas aula / 30 horas </w:t>
      </w:r>
    </w:p>
    <w:p w:rsidR="00126DAD" w:rsidRPr="00000A00" w:rsidRDefault="001245CC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A</w:t>
      </w:r>
      <w:r w:rsidR="00126DAD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tendimento: 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>segundas 18:15 – 19:</w:t>
      </w:r>
      <w:r w:rsidR="000B5A31" w:rsidRPr="00000A00">
        <w:rPr>
          <w:rFonts w:ascii="Arial" w:hAnsi="Arial" w:cs="Arial"/>
          <w:snapToGrid w:val="0"/>
          <w:sz w:val="22"/>
          <w:szCs w:val="22"/>
          <w:lang w:eastAsia="pt-BR"/>
        </w:rPr>
        <w:t>45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h;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qu</w:t>
      </w:r>
      <w:r w:rsidR="000B5A31" w:rsidRPr="00000A00">
        <w:rPr>
          <w:rFonts w:ascii="Arial" w:hAnsi="Arial" w:cs="Arial"/>
          <w:snapToGrid w:val="0"/>
          <w:sz w:val="22"/>
          <w:szCs w:val="22"/>
          <w:lang w:eastAsia="pt-BR"/>
        </w:rPr>
        <w:t>intas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</w:t>
      </w:r>
      <w:r w:rsidR="000B5A31" w:rsidRPr="00000A00">
        <w:rPr>
          <w:rFonts w:ascii="Arial" w:hAnsi="Arial" w:cs="Arial"/>
          <w:snapToGrid w:val="0"/>
          <w:sz w:val="22"/>
          <w:szCs w:val="22"/>
          <w:lang w:eastAsia="pt-BR"/>
        </w:rPr>
        <w:t>18:15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– 1</w:t>
      </w:r>
      <w:r w:rsidR="000B5A31" w:rsidRPr="00000A00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>:45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e terças 15:00 – 16:45.</w:t>
      </w:r>
    </w:p>
    <w:p w:rsidR="00126DAD" w:rsidRPr="003C3DD7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Ano/semestre: 201</w:t>
      </w:r>
      <w:r w:rsidR="00FC33BF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- </w:t>
      </w:r>
      <w:r w:rsidR="00404684">
        <w:rPr>
          <w:rFonts w:ascii="Arial" w:hAnsi="Arial" w:cs="Arial"/>
          <w:snapToGrid w:val="0"/>
          <w:sz w:val="22"/>
          <w:szCs w:val="22"/>
          <w:lang w:eastAsia="pt-BR"/>
        </w:rPr>
        <w:t>Segundo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semestre </w:t>
      </w: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    </w:t>
      </w:r>
      <w:r w:rsidRPr="003C3DD7">
        <w:rPr>
          <w:snapToGrid w:val="0"/>
          <w:sz w:val="24"/>
          <w:szCs w:val="24"/>
          <w:lang w:eastAsia="pt-BR"/>
        </w:rPr>
        <w:t xml:space="preserve">                                                            </w:t>
      </w:r>
    </w:p>
    <w:p w:rsidR="00DE7A45" w:rsidRDefault="00DE7A45" w:rsidP="00DE7A45">
      <w:pPr>
        <w:rPr>
          <w:lang w:eastAsia="pt-BR"/>
        </w:rPr>
      </w:pPr>
    </w:p>
    <w:p w:rsidR="00BB548B" w:rsidRDefault="00BB548B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7620"/>
      </w:tblGrid>
      <w:tr w:rsidR="00227D35" w:rsidRPr="00000A00" w:rsidTr="00F97268">
        <w:trPr>
          <w:trHeight w:val="273"/>
        </w:trPr>
        <w:tc>
          <w:tcPr>
            <w:tcW w:w="851" w:type="dxa"/>
          </w:tcPr>
          <w:p w:rsidR="00227D35" w:rsidRPr="00000A00" w:rsidRDefault="00227D35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Aula</w:t>
            </w:r>
            <w:r w:rsidR="00F97268" w:rsidRPr="00000A0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851" w:type="dxa"/>
          </w:tcPr>
          <w:p w:rsidR="00227D35" w:rsidRPr="00000A00" w:rsidRDefault="0075668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7620" w:type="dxa"/>
          </w:tcPr>
          <w:p w:rsidR="00227D35" w:rsidRPr="00000A00" w:rsidRDefault="0075668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Conteúdo Programático</w:t>
            </w:r>
          </w:p>
        </w:tc>
      </w:tr>
      <w:tr w:rsidR="00B52607" w:rsidRPr="00000A00" w:rsidTr="00F97268">
        <w:trPr>
          <w:trHeight w:val="273"/>
        </w:trPr>
        <w:tc>
          <w:tcPr>
            <w:tcW w:w="851" w:type="dxa"/>
          </w:tcPr>
          <w:p w:rsidR="00B52607" w:rsidRPr="00000A00" w:rsidRDefault="00B52607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</w:tcPr>
          <w:p w:rsidR="00B52607" w:rsidRPr="00000A00" w:rsidRDefault="00D8014B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5/8</w:t>
            </w:r>
          </w:p>
        </w:tc>
        <w:tc>
          <w:tcPr>
            <w:tcW w:w="7620" w:type="dxa"/>
          </w:tcPr>
          <w:p w:rsidR="00B52607" w:rsidRPr="00000A00" w:rsidRDefault="00B52607" w:rsidP="00403209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 xml:space="preserve">Torres de resfriamento de água – principais tipos de torres e suas partes. </w:t>
            </w:r>
            <w:proofErr w:type="spellStart"/>
            <w:r w:rsidRPr="00000A00">
              <w:rPr>
                <w:rFonts w:ascii="Arial" w:hAnsi="Arial" w:cs="Arial"/>
                <w:sz w:val="20"/>
              </w:rPr>
              <w:t>Psicrometria</w:t>
            </w:r>
            <w:proofErr w:type="spellEnd"/>
            <w:r w:rsidRPr="00000A00">
              <w:rPr>
                <w:rFonts w:ascii="Arial" w:hAnsi="Arial" w:cs="Arial"/>
                <w:sz w:val="20"/>
              </w:rPr>
              <w:t>, transferência de calor e massa e balanços de massa e energia.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52607" w:rsidRPr="00000A00" w:rsidTr="00F97268">
        <w:trPr>
          <w:trHeight w:val="273"/>
        </w:trPr>
        <w:tc>
          <w:tcPr>
            <w:tcW w:w="851" w:type="dxa"/>
          </w:tcPr>
          <w:p w:rsidR="00B52607" w:rsidRPr="00000A00" w:rsidRDefault="00B52607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</w:tcPr>
          <w:p w:rsidR="00B52607" w:rsidRPr="00000A00" w:rsidRDefault="00D8014B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12/8</w:t>
            </w:r>
          </w:p>
        </w:tc>
        <w:tc>
          <w:tcPr>
            <w:tcW w:w="7620" w:type="dxa"/>
          </w:tcPr>
          <w:p w:rsidR="00B52607" w:rsidRPr="00000A00" w:rsidRDefault="00B52607" w:rsidP="00403209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Exercícios sobre torres de resfriamento (diagrama psicrométrico)</w:t>
            </w:r>
          </w:p>
        </w:tc>
      </w:tr>
      <w:tr w:rsidR="00404684" w:rsidRPr="00000A00" w:rsidTr="00F97268">
        <w:trPr>
          <w:trHeight w:val="273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</w:tcPr>
          <w:p w:rsidR="00404684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24/8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Exercícios sobre torres de resfriamento (diagrama psicrométrico)</w:t>
            </w:r>
          </w:p>
        </w:tc>
      </w:tr>
      <w:tr w:rsidR="00404684" w:rsidRPr="00000A00" w:rsidTr="00F97268">
        <w:trPr>
          <w:trHeight w:val="273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29/8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Trocadores de calor – (a) trocador de calor duplo tubo (b) trocador de calor casco e tubo e (c) de placas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04684" w:rsidRPr="00000A00" w:rsidTr="00F97268">
        <w:trPr>
          <w:trHeight w:val="273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2/9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Coeficiente global de transferência de calor</w:t>
            </w:r>
            <w:r>
              <w:rPr>
                <w:rFonts w:ascii="Arial" w:hAnsi="Arial" w:cs="Arial"/>
                <w:sz w:val="20"/>
              </w:rPr>
              <w:t>. Exercícios.</w:t>
            </w:r>
            <w:r w:rsidRPr="00000A00">
              <w:rPr>
                <w:rFonts w:ascii="Arial" w:hAnsi="Arial" w:cs="Arial"/>
                <w:sz w:val="20"/>
              </w:rPr>
              <w:t xml:space="preserve"> Coeficiente global de transferência de calor </w:t>
            </w:r>
          </w:p>
        </w:tc>
      </w:tr>
      <w:tr w:rsidR="00404684" w:rsidRPr="00000A00" w:rsidTr="00F97268">
        <w:trPr>
          <w:trHeight w:val="135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9/9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Coeficiente global de transferência de calor</w:t>
            </w:r>
            <w:r>
              <w:rPr>
                <w:rFonts w:ascii="Arial" w:hAnsi="Arial" w:cs="Arial"/>
                <w:sz w:val="20"/>
              </w:rPr>
              <w:t>. Exercícios.</w:t>
            </w:r>
            <w:r w:rsidRPr="00000A00">
              <w:rPr>
                <w:rFonts w:ascii="Arial" w:hAnsi="Arial" w:cs="Arial"/>
                <w:sz w:val="20"/>
              </w:rPr>
              <w:t xml:space="preserve"> Coeficiente global de transferência de calor – Exemplo com recuperador (escoamento cruzado sobre banco de tubos)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16/9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Coeficiente global de transferência de calor – Exemplo</w:t>
            </w:r>
            <w:r>
              <w:rPr>
                <w:rFonts w:ascii="Arial" w:hAnsi="Arial" w:cs="Arial"/>
                <w:sz w:val="20"/>
              </w:rPr>
              <w:t xml:space="preserve"> com trocador</w:t>
            </w:r>
            <w:r w:rsidRPr="00000A00">
              <w:rPr>
                <w:rFonts w:ascii="Arial" w:hAnsi="Arial" w:cs="Arial"/>
                <w:sz w:val="20"/>
              </w:rPr>
              <w:t xml:space="preserve"> de calor compacto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23/9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média logarítmica das diferenças de temperatura</w:t>
            </w:r>
            <w:r>
              <w:rPr>
                <w:rFonts w:ascii="Arial" w:hAnsi="Arial" w:cs="Arial"/>
                <w:sz w:val="20"/>
              </w:rPr>
              <w:t>. Exercícios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</w:tcPr>
          <w:p w:rsidR="00404684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25/9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média logarítmica das diferenças de temperatura</w:t>
            </w:r>
            <w:r>
              <w:rPr>
                <w:rFonts w:ascii="Arial" w:hAnsi="Arial" w:cs="Arial"/>
                <w:sz w:val="20"/>
              </w:rPr>
              <w:t>. Exercícios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30/9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Exercícios de preparação para a avaliação (revisão).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00A00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7/10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Primeira avaliação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14/10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média logarítmica das diferenças de temperatura: trocadores de calor multipasses e escoamento cruzado: uso do fator de correção.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21/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média logarítmica das diferenças de temperatura: trocadores de calor multipasses e escoamento cruzado: uso do fator de correção.</w:t>
            </w:r>
          </w:p>
        </w:tc>
      </w:tr>
      <w:tr w:rsidR="00404684" w:rsidRPr="00000A00" w:rsidTr="00403209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</w:tcPr>
          <w:p w:rsidR="00404684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4/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620" w:type="dxa"/>
          </w:tcPr>
          <w:p w:rsidR="00404684" w:rsidRPr="00000A00" w:rsidRDefault="00404684" w:rsidP="00404684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método da efetividade – N</w:t>
            </w:r>
            <w:r>
              <w:rPr>
                <w:rFonts w:ascii="Arial" w:hAnsi="Arial" w:cs="Arial"/>
                <w:sz w:val="20"/>
              </w:rPr>
              <w:t>TU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11/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620" w:type="dxa"/>
          </w:tcPr>
          <w:p w:rsidR="00404684" w:rsidRPr="00000A00" w:rsidRDefault="00404684" w:rsidP="00404684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método da efetividade – N</w:t>
            </w:r>
            <w:r>
              <w:rPr>
                <w:rFonts w:ascii="Arial" w:hAnsi="Arial" w:cs="Arial"/>
                <w:sz w:val="20"/>
              </w:rPr>
              <w:t>TU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18/10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 xml:space="preserve">Projeto de trocadores de calor – </w:t>
            </w:r>
            <w:proofErr w:type="spellStart"/>
            <w:r>
              <w:rPr>
                <w:rFonts w:ascii="Arial" w:hAnsi="Arial" w:cs="Arial"/>
                <w:sz w:val="20"/>
              </w:rPr>
              <w:t>Kern</w:t>
            </w:r>
            <w:proofErr w:type="spellEnd"/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25/10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Projeto de trocadores de calor – Bell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2/10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Exercícios de preparação para a avaliação (revisão).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51" w:type="dxa"/>
          </w:tcPr>
          <w:p w:rsidR="00404684" w:rsidRPr="00000A00" w:rsidRDefault="00404684" w:rsidP="00D8014B">
            <w:pPr>
              <w:pStyle w:val="Corpodetexto"/>
              <w:tabs>
                <w:tab w:val="center" w:pos="317"/>
              </w:tabs>
              <w:spacing w:line="160" w:lineRule="atLeast"/>
              <w:jc w:val="lef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9/10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Segunda avaliação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16/10</w:t>
            </w: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Reavaliação</w:t>
            </w: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20" w:type="dxa"/>
          </w:tcPr>
          <w:p w:rsidR="00404684" w:rsidRPr="00000A00" w:rsidRDefault="00404684" w:rsidP="00D3465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  <w:tr w:rsidR="00404684" w:rsidRPr="00000A00" w:rsidTr="00F97268">
        <w:trPr>
          <w:trHeight w:val="139"/>
        </w:trPr>
        <w:tc>
          <w:tcPr>
            <w:tcW w:w="851" w:type="dxa"/>
          </w:tcPr>
          <w:p w:rsidR="00404684" w:rsidRPr="00000A00" w:rsidRDefault="00404684" w:rsidP="0040320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04684" w:rsidRPr="00000A00" w:rsidRDefault="00404684" w:rsidP="00B5260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20" w:type="dxa"/>
          </w:tcPr>
          <w:p w:rsidR="00404684" w:rsidRPr="00000A00" w:rsidRDefault="00404684" w:rsidP="00403209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227D35" w:rsidRPr="002E717A" w:rsidRDefault="00F97268" w:rsidP="009D6CAE">
      <w:pPr>
        <w:pStyle w:val="Corpodetexto"/>
        <w:spacing w:line="160" w:lineRule="atLeast"/>
        <w:rPr>
          <w:rFonts w:ascii="Arial" w:hAnsi="Arial" w:cs="Arial"/>
          <w:sz w:val="18"/>
          <w:szCs w:val="18"/>
        </w:rPr>
      </w:pPr>
      <w:r w:rsidRPr="002E717A">
        <w:rPr>
          <w:rFonts w:ascii="Arial" w:hAnsi="Arial" w:cs="Arial"/>
          <w:sz w:val="18"/>
          <w:szCs w:val="18"/>
        </w:rPr>
        <w:t xml:space="preserve">* Cada aula </w:t>
      </w:r>
      <w:r w:rsidR="00525B01" w:rsidRPr="002E717A">
        <w:rPr>
          <w:rFonts w:ascii="Arial" w:hAnsi="Arial" w:cs="Arial"/>
          <w:sz w:val="18"/>
          <w:szCs w:val="18"/>
        </w:rPr>
        <w:t>corresponde a 2 períodos</w:t>
      </w:r>
      <w:r w:rsidRPr="002E717A">
        <w:rPr>
          <w:rFonts w:ascii="Arial" w:hAnsi="Arial" w:cs="Arial"/>
          <w:sz w:val="18"/>
          <w:szCs w:val="18"/>
        </w:rPr>
        <w:t>.</w:t>
      </w:r>
    </w:p>
    <w:sectPr w:rsidR="00227D35" w:rsidRPr="002E717A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52" w:rsidRDefault="00D34652" w:rsidP="00E6564C">
      <w:r>
        <w:separator/>
      </w:r>
    </w:p>
  </w:endnote>
  <w:endnote w:type="continuationSeparator" w:id="1">
    <w:p w:rsidR="00D34652" w:rsidRDefault="00D34652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52" w:rsidRDefault="00D34652" w:rsidP="00E6564C">
      <w:r>
        <w:separator/>
      </w:r>
    </w:p>
  </w:footnote>
  <w:footnote w:type="continuationSeparator" w:id="1">
    <w:p w:rsidR="00D34652" w:rsidRDefault="00D34652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0A00"/>
    <w:rsid w:val="00002B11"/>
    <w:rsid w:val="0000762B"/>
    <w:rsid w:val="000233E1"/>
    <w:rsid w:val="00032265"/>
    <w:rsid w:val="00071495"/>
    <w:rsid w:val="000715CE"/>
    <w:rsid w:val="0007537B"/>
    <w:rsid w:val="00095BA1"/>
    <w:rsid w:val="000B53EC"/>
    <w:rsid w:val="000B5A31"/>
    <w:rsid w:val="000B7D0D"/>
    <w:rsid w:val="000C52DA"/>
    <w:rsid w:val="000C630D"/>
    <w:rsid w:val="000E46D7"/>
    <w:rsid w:val="000E61C0"/>
    <w:rsid w:val="000F1993"/>
    <w:rsid w:val="000F323D"/>
    <w:rsid w:val="000F53BF"/>
    <w:rsid w:val="00102A70"/>
    <w:rsid w:val="00107C59"/>
    <w:rsid w:val="00115787"/>
    <w:rsid w:val="001245CC"/>
    <w:rsid w:val="00126DAD"/>
    <w:rsid w:val="001355A3"/>
    <w:rsid w:val="00140462"/>
    <w:rsid w:val="00160596"/>
    <w:rsid w:val="00165EC5"/>
    <w:rsid w:val="00170C26"/>
    <w:rsid w:val="001B24B7"/>
    <w:rsid w:val="001C2193"/>
    <w:rsid w:val="001C7925"/>
    <w:rsid w:val="001D5C44"/>
    <w:rsid w:val="001F79C5"/>
    <w:rsid w:val="00205CE5"/>
    <w:rsid w:val="002151DE"/>
    <w:rsid w:val="00217498"/>
    <w:rsid w:val="00224BA0"/>
    <w:rsid w:val="002250EB"/>
    <w:rsid w:val="00227D35"/>
    <w:rsid w:val="00251608"/>
    <w:rsid w:val="00254DD2"/>
    <w:rsid w:val="002568A8"/>
    <w:rsid w:val="00265C0E"/>
    <w:rsid w:val="002742E4"/>
    <w:rsid w:val="002E3518"/>
    <w:rsid w:val="002E717A"/>
    <w:rsid w:val="002F1703"/>
    <w:rsid w:val="002F7AB7"/>
    <w:rsid w:val="00305E26"/>
    <w:rsid w:val="0030738D"/>
    <w:rsid w:val="00320BA4"/>
    <w:rsid w:val="003302DA"/>
    <w:rsid w:val="00335AB1"/>
    <w:rsid w:val="00343C1C"/>
    <w:rsid w:val="00362C23"/>
    <w:rsid w:val="00364A83"/>
    <w:rsid w:val="00372A21"/>
    <w:rsid w:val="003743C6"/>
    <w:rsid w:val="003745E5"/>
    <w:rsid w:val="00380BDF"/>
    <w:rsid w:val="00385A30"/>
    <w:rsid w:val="003A11BE"/>
    <w:rsid w:val="003C3DD7"/>
    <w:rsid w:val="00403209"/>
    <w:rsid w:val="00404684"/>
    <w:rsid w:val="0041093D"/>
    <w:rsid w:val="004178BC"/>
    <w:rsid w:val="00430C70"/>
    <w:rsid w:val="004345E5"/>
    <w:rsid w:val="00435825"/>
    <w:rsid w:val="00462745"/>
    <w:rsid w:val="00472B70"/>
    <w:rsid w:val="00474A40"/>
    <w:rsid w:val="00476339"/>
    <w:rsid w:val="00476E11"/>
    <w:rsid w:val="00494F22"/>
    <w:rsid w:val="004A34F4"/>
    <w:rsid w:val="004C011E"/>
    <w:rsid w:val="004E1291"/>
    <w:rsid w:val="004E4D8D"/>
    <w:rsid w:val="004F76B7"/>
    <w:rsid w:val="00501D82"/>
    <w:rsid w:val="0050279A"/>
    <w:rsid w:val="00506361"/>
    <w:rsid w:val="00517CA0"/>
    <w:rsid w:val="00520CE4"/>
    <w:rsid w:val="00521748"/>
    <w:rsid w:val="00523A87"/>
    <w:rsid w:val="00525B01"/>
    <w:rsid w:val="005316E2"/>
    <w:rsid w:val="00545F43"/>
    <w:rsid w:val="005734C0"/>
    <w:rsid w:val="00584F0E"/>
    <w:rsid w:val="005A26D4"/>
    <w:rsid w:val="005C1F17"/>
    <w:rsid w:val="005E116F"/>
    <w:rsid w:val="00604261"/>
    <w:rsid w:val="006204BB"/>
    <w:rsid w:val="00621AC9"/>
    <w:rsid w:val="006232B9"/>
    <w:rsid w:val="00626DC7"/>
    <w:rsid w:val="00627EE4"/>
    <w:rsid w:val="00630CAC"/>
    <w:rsid w:val="00635781"/>
    <w:rsid w:val="00646DA2"/>
    <w:rsid w:val="00656173"/>
    <w:rsid w:val="00664DBE"/>
    <w:rsid w:val="00671724"/>
    <w:rsid w:val="00673E3D"/>
    <w:rsid w:val="00674ADC"/>
    <w:rsid w:val="006B24B7"/>
    <w:rsid w:val="006F580E"/>
    <w:rsid w:val="007009C3"/>
    <w:rsid w:val="007129E8"/>
    <w:rsid w:val="00714017"/>
    <w:rsid w:val="007258A0"/>
    <w:rsid w:val="0073397E"/>
    <w:rsid w:val="00735F7A"/>
    <w:rsid w:val="00742142"/>
    <w:rsid w:val="00742C45"/>
    <w:rsid w:val="00754D9A"/>
    <w:rsid w:val="0075668E"/>
    <w:rsid w:val="007714DC"/>
    <w:rsid w:val="00775F5D"/>
    <w:rsid w:val="0077668D"/>
    <w:rsid w:val="00780BE6"/>
    <w:rsid w:val="00794F8D"/>
    <w:rsid w:val="007C3FFB"/>
    <w:rsid w:val="007C4241"/>
    <w:rsid w:val="007C59DA"/>
    <w:rsid w:val="007C7D86"/>
    <w:rsid w:val="007F2109"/>
    <w:rsid w:val="00801011"/>
    <w:rsid w:val="00802E48"/>
    <w:rsid w:val="00817340"/>
    <w:rsid w:val="00831CC8"/>
    <w:rsid w:val="008334AF"/>
    <w:rsid w:val="008462AE"/>
    <w:rsid w:val="008473D2"/>
    <w:rsid w:val="008518BB"/>
    <w:rsid w:val="00853BA1"/>
    <w:rsid w:val="008578AB"/>
    <w:rsid w:val="00857BF8"/>
    <w:rsid w:val="00877953"/>
    <w:rsid w:val="008A0A65"/>
    <w:rsid w:val="008B59FB"/>
    <w:rsid w:val="008D5777"/>
    <w:rsid w:val="008F52A0"/>
    <w:rsid w:val="0091730E"/>
    <w:rsid w:val="00933BE7"/>
    <w:rsid w:val="00936773"/>
    <w:rsid w:val="009457DB"/>
    <w:rsid w:val="0095441E"/>
    <w:rsid w:val="009544C6"/>
    <w:rsid w:val="009564AE"/>
    <w:rsid w:val="0097526D"/>
    <w:rsid w:val="00982812"/>
    <w:rsid w:val="00985DBF"/>
    <w:rsid w:val="009A5116"/>
    <w:rsid w:val="009B176C"/>
    <w:rsid w:val="009C11D2"/>
    <w:rsid w:val="009C22FD"/>
    <w:rsid w:val="009D489C"/>
    <w:rsid w:val="009D6360"/>
    <w:rsid w:val="009D6CAE"/>
    <w:rsid w:val="009E5DBC"/>
    <w:rsid w:val="00A05071"/>
    <w:rsid w:val="00A17F7F"/>
    <w:rsid w:val="00A3241A"/>
    <w:rsid w:val="00A34B74"/>
    <w:rsid w:val="00A374CA"/>
    <w:rsid w:val="00A52B7D"/>
    <w:rsid w:val="00A55957"/>
    <w:rsid w:val="00A6013F"/>
    <w:rsid w:val="00A66AD5"/>
    <w:rsid w:val="00A72936"/>
    <w:rsid w:val="00A85BA2"/>
    <w:rsid w:val="00A85F46"/>
    <w:rsid w:val="00A867AD"/>
    <w:rsid w:val="00A8773B"/>
    <w:rsid w:val="00AC0235"/>
    <w:rsid w:val="00AC220C"/>
    <w:rsid w:val="00AD1E18"/>
    <w:rsid w:val="00AD57E5"/>
    <w:rsid w:val="00AE1885"/>
    <w:rsid w:val="00AE67E7"/>
    <w:rsid w:val="00AF4B6E"/>
    <w:rsid w:val="00B202E9"/>
    <w:rsid w:val="00B43454"/>
    <w:rsid w:val="00B52607"/>
    <w:rsid w:val="00B53A82"/>
    <w:rsid w:val="00B63909"/>
    <w:rsid w:val="00B71019"/>
    <w:rsid w:val="00B87871"/>
    <w:rsid w:val="00BA28A3"/>
    <w:rsid w:val="00BB2DE9"/>
    <w:rsid w:val="00BB45FC"/>
    <w:rsid w:val="00BB548B"/>
    <w:rsid w:val="00BC2819"/>
    <w:rsid w:val="00BF34C0"/>
    <w:rsid w:val="00BF43B4"/>
    <w:rsid w:val="00BF5875"/>
    <w:rsid w:val="00C00D20"/>
    <w:rsid w:val="00C2036B"/>
    <w:rsid w:val="00C22887"/>
    <w:rsid w:val="00C413ED"/>
    <w:rsid w:val="00C41BEE"/>
    <w:rsid w:val="00C45D55"/>
    <w:rsid w:val="00C474D0"/>
    <w:rsid w:val="00C62D5E"/>
    <w:rsid w:val="00C75AE4"/>
    <w:rsid w:val="00C90C9A"/>
    <w:rsid w:val="00C913F1"/>
    <w:rsid w:val="00C95DD4"/>
    <w:rsid w:val="00C95EF8"/>
    <w:rsid w:val="00CB0042"/>
    <w:rsid w:val="00CB2BB4"/>
    <w:rsid w:val="00CB5A95"/>
    <w:rsid w:val="00CC14DE"/>
    <w:rsid w:val="00CC64E2"/>
    <w:rsid w:val="00CD4D19"/>
    <w:rsid w:val="00CF5ECE"/>
    <w:rsid w:val="00D07F7F"/>
    <w:rsid w:val="00D16F6B"/>
    <w:rsid w:val="00D202AE"/>
    <w:rsid w:val="00D2781E"/>
    <w:rsid w:val="00D34652"/>
    <w:rsid w:val="00D5340A"/>
    <w:rsid w:val="00D56B02"/>
    <w:rsid w:val="00D607F9"/>
    <w:rsid w:val="00D61830"/>
    <w:rsid w:val="00D632C9"/>
    <w:rsid w:val="00D726DA"/>
    <w:rsid w:val="00D75BAD"/>
    <w:rsid w:val="00D8014B"/>
    <w:rsid w:val="00D85D11"/>
    <w:rsid w:val="00D86349"/>
    <w:rsid w:val="00D94E03"/>
    <w:rsid w:val="00DA0440"/>
    <w:rsid w:val="00DA45E1"/>
    <w:rsid w:val="00DB0A45"/>
    <w:rsid w:val="00DB5A32"/>
    <w:rsid w:val="00DD46E8"/>
    <w:rsid w:val="00DE7A45"/>
    <w:rsid w:val="00DF1C09"/>
    <w:rsid w:val="00E0151C"/>
    <w:rsid w:val="00E30CDC"/>
    <w:rsid w:val="00E358A0"/>
    <w:rsid w:val="00E35CFF"/>
    <w:rsid w:val="00E6564C"/>
    <w:rsid w:val="00E70CF8"/>
    <w:rsid w:val="00E735FB"/>
    <w:rsid w:val="00E90C5C"/>
    <w:rsid w:val="00E92071"/>
    <w:rsid w:val="00E9660C"/>
    <w:rsid w:val="00EA0016"/>
    <w:rsid w:val="00ED34DC"/>
    <w:rsid w:val="00ED788B"/>
    <w:rsid w:val="00EE055B"/>
    <w:rsid w:val="00EE5670"/>
    <w:rsid w:val="00EF401C"/>
    <w:rsid w:val="00EF6C62"/>
    <w:rsid w:val="00F309D9"/>
    <w:rsid w:val="00F46E9D"/>
    <w:rsid w:val="00F521BC"/>
    <w:rsid w:val="00F54AFB"/>
    <w:rsid w:val="00F613D5"/>
    <w:rsid w:val="00F61B1A"/>
    <w:rsid w:val="00F62392"/>
    <w:rsid w:val="00F913F4"/>
    <w:rsid w:val="00F91F48"/>
    <w:rsid w:val="00F968D6"/>
    <w:rsid w:val="00F97268"/>
    <w:rsid w:val="00FA5F35"/>
    <w:rsid w:val="00FA7F9C"/>
    <w:rsid w:val="00FB0286"/>
    <w:rsid w:val="00FB1828"/>
    <w:rsid w:val="00FB328F"/>
    <w:rsid w:val="00FC33BF"/>
    <w:rsid w:val="00FD6D96"/>
    <w:rsid w:val="00FE2646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odyText3">
    <w:name w:val="Body Text 3"/>
    <w:basedOn w:val="Normal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6564C"/>
    <w:rPr>
      <w:lang w:eastAsia="en-US"/>
    </w:rPr>
  </w:style>
  <w:style w:type="paragraph" w:customStyle="1" w:styleId="Default">
    <w:name w:val="Default"/>
    <w:rsid w:val="00A55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90CF-199E-4EDD-8620-3239A5F1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2019-04-02T00:07:00Z</cp:lastPrinted>
  <dcterms:created xsi:type="dcterms:W3CDTF">2019-07-25T13:15:00Z</dcterms:created>
  <dcterms:modified xsi:type="dcterms:W3CDTF">2019-07-25T13:15:00Z</dcterms:modified>
</cp:coreProperties>
</file>