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EE" w:rsidRPr="000F78EB" w:rsidRDefault="00A27032" w:rsidP="003724EE">
      <w:pPr>
        <w:jc w:val="right"/>
        <w:rPr>
          <w:rFonts w:ascii="Arial" w:hAnsi="Arial" w:cs="Arial"/>
          <w:sz w:val="24"/>
          <w:szCs w:val="24"/>
        </w:rPr>
      </w:pPr>
      <w:r>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8.15pt;margin-top:-15.4pt;width:456.05pt;height:97.25pt;z-index:251656704">
            <v:textbox style="mso-next-textbox:#_x0000_s1026">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Default="00F03ACE" w:rsidP="009D6CAE">
      <w:pPr>
        <w:widowControl w:val="0"/>
        <w:spacing w:line="160" w:lineRule="atLeast"/>
        <w:jc w:val="center"/>
        <w:rPr>
          <w:rFonts w:ascii="Arial" w:hAnsi="Arial" w:cs="Arial"/>
          <w:snapToGrid w:val="0"/>
          <w:sz w:val="24"/>
          <w:szCs w:val="24"/>
          <w:lang w:eastAsia="pt-BR"/>
        </w:rPr>
      </w:pPr>
    </w:p>
    <w:p w:rsidR="00E43C3D" w:rsidRPr="00E43C3D" w:rsidRDefault="00E43C3D" w:rsidP="00E43C3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rsidR="00E43C3D" w:rsidRPr="00815FBF" w:rsidRDefault="00E43C3D" w:rsidP="009D6CAE">
      <w:pPr>
        <w:widowControl w:val="0"/>
        <w:spacing w:line="160" w:lineRule="atLeast"/>
        <w:jc w:val="center"/>
        <w:rPr>
          <w:rFonts w:ascii="Arial" w:hAnsi="Arial" w:cs="Arial"/>
          <w:snapToGrid w:val="0"/>
          <w:sz w:val="24"/>
          <w:szCs w:val="24"/>
          <w:lang w:eastAsia="pt-BR"/>
        </w:rPr>
      </w:pP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401C70">
        <w:rPr>
          <w:rFonts w:ascii="Arial" w:hAnsi="Arial" w:cs="Arial"/>
          <w:b/>
          <w:snapToGrid w:val="0"/>
          <w:sz w:val="24"/>
          <w:szCs w:val="24"/>
          <w:lang w:eastAsia="pt-BR"/>
        </w:rPr>
        <w:t>Eventos</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 xml:space="preserve">Disciplina: </w:t>
      </w:r>
      <w:r w:rsidR="00401C70">
        <w:rPr>
          <w:rFonts w:ascii="Arial" w:hAnsi="Arial" w:cs="Arial"/>
          <w:b/>
          <w:snapToGrid w:val="0"/>
          <w:lang w:eastAsia="pt-BR"/>
        </w:rPr>
        <w:t>Filosofia III</w:t>
      </w:r>
      <w:r w:rsidRPr="00E43C3D">
        <w:rPr>
          <w:rFonts w:ascii="Arial" w:hAnsi="Arial" w:cs="Arial"/>
          <w:b/>
          <w:snapToGrid w:val="0"/>
          <w:lang w:eastAsia="pt-BR"/>
        </w:rPr>
        <w:t xml:space="preserve">    </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Professor(a):</w:t>
      </w:r>
      <w:r w:rsidR="00401C70">
        <w:rPr>
          <w:rFonts w:ascii="Arial" w:hAnsi="Arial" w:cs="Arial"/>
          <w:b/>
          <w:snapToGrid w:val="0"/>
          <w:lang w:eastAsia="pt-BR"/>
        </w:rPr>
        <w:t xml:space="preserve"> Mariano Bay de Araújo</w:t>
      </w: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00401C70">
        <w:rPr>
          <w:rFonts w:ascii="Arial" w:hAnsi="Arial" w:cs="Arial"/>
          <w:b/>
          <w:snapToGrid w:val="0"/>
          <w:sz w:val="24"/>
          <w:szCs w:val="24"/>
          <w:lang w:eastAsia="pt-BR"/>
        </w:rPr>
        <w:t>30h</w:t>
      </w:r>
    </w:p>
    <w:p w:rsidR="005E3EC5"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00401C70">
        <w:rPr>
          <w:rFonts w:ascii="Arial" w:hAnsi="Arial" w:cs="Arial"/>
          <w:b/>
          <w:snapToGrid w:val="0"/>
          <w:sz w:val="24"/>
          <w:szCs w:val="24"/>
          <w:lang w:eastAsia="pt-BR"/>
        </w:rPr>
        <w:t>2019/2</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1.EMENTA:</w:t>
            </w:r>
            <w:r w:rsidR="00401C70">
              <w:t xml:space="preserve"> </w:t>
            </w:r>
            <w:r w:rsidR="00401C70" w:rsidRPr="00401C70">
              <w:rPr>
                <w:rFonts w:ascii="Arial" w:hAnsi="Arial" w:cs="Arial"/>
              </w:rPr>
              <w:t>Estudo da natureza da investigação filosófica a partir de uma abordagem histórico-temática. Identificação da filosofia como atividade conceitual que permeia as diversas áreas do conhecimento. Reconstrução histórica da filosofia com ênfase nas problemáticas que constituem o desenvolvimento do pensamento ocidental. Busca da compreensão da Filosofia Política. Mediação das questões fundamentais dos conteúdos programáticos a partir de análise de textos e exercícios de argumentação.</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rsidR="00105B42" w:rsidRPr="00EC6A5A" w:rsidRDefault="00105B42" w:rsidP="00105B42">
            <w:pPr>
              <w:pStyle w:val="NormalWeb"/>
              <w:numPr>
                <w:ilvl w:val="0"/>
                <w:numId w:val="4"/>
              </w:numPr>
              <w:spacing w:before="0" w:beforeAutospacing="0" w:after="0" w:afterAutospacing="0"/>
              <w:textAlignment w:val="baseline"/>
              <w:rPr>
                <w:rFonts w:ascii="Arial" w:hAnsi="Arial" w:cs="Arial"/>
                <w:color w:val="000000"/>
              </w:rPr>
            </w:pPr>
            <w:r w:rsidRPr="00EC6A5A">
              <w:rPr>
                <w:rFonts w:ascii="Arial" w:hAnsi="Arial" w:cs="Arial"/>
                <w:color w:val="000000"/>
              </w:rPr>
              <w:t>Conhecer os principais conceitos de ética e filosofia política;</w:t>
            </w:r>
          </w:p>
          <w:p w:rsidR="00105B42" w:rsidRPr="00105B42" w:rsidRDefault="00105B42" w:rsidP="00105B42">
            <w:pPr>
              <w:pStyle w:val="NormalWeb"/>
              <w:numPr>
                <w:ilvl w:val="0"/>
                <w:numId w:val="4"/>
              </w:numPr>
              <w:spacing w:before="0" w:beforeAutospacing="0" w:after="0" w:afterAutospacing="0"/>
              <w:textAlignment w:val="baseline"/>
              <w:rPr>
                <w:rFonts w:ascii="Arial" w:hAnsi="Arial" w:cs="Arial"/>
                <w:b/>
              </w:rPr>
            </w:pPr>
            <w:r w:rsidRPr="00EC6A5A">
              <w:rPr>
                <w:rFonts w:ascii="Arial" w:hAnsi="Arial" w:cs="Arial"/>
                <w:color w:val="000000"/>
              </w:rPr>
              <w:t>Reconhecer as principais estratégias de justificação em ética e filosofia política;</w:t>
            </w:r>
          </w:p>
          <w:p w:rsidR="00105B42" w:rsidRPr="00815FBF" w:rsidRDefault="00105B42" w:rsidP="00105B42">
            <w:pPr>
              <w:pStyle w:val="NormalWeb"/>
              <w:numPr>
                <w:ilvl w:val="0"/>
                <w:numId w:val="4"/>
              </w:numPr>
              <w:spacing w:before="0" w:beforeAutospacing="0" w:after="0" w:afterAutospacing="0"/>
              <w:textAlignment w:val="baseline"/>
              <w:rPr>
                <w:rFonts w:ascii="Arial" w:hAnsi="Arial" w:cs="Arial"/>
                <w:b/>
              </w:rPr>
            </w:pPr>
            <w:r w:rsidRPr="00EC6A5A">
              <w:rPr>
                <w:rFonts w:ascii="Arial" w:hAnsi="Arial" w:cs="Arial"/>
                <w:color w:val="000000"/>
              </w:rPr>
              <w:t>Compreender as principais posições filosóficas sobre moral e política.</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UNIDADE I – Ética e Filosofia Moral</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1.1Juízos de fato e juízos de valor</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1.2Valores e valoração</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1.3 Valores e cultura</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1.4 Relativismo ético</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1.5 Ética objetiva</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1.6 Consciência ética e liberdade</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1.7 Liberdade e responsabilidade</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1.8 Ética utilitarista</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1.9 Ética e desenvolvimento Científico</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1.10 Bioética</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UNIDADE II – Filosofia Política</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2.1 O Surgimento da política</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2.2 Tipologia das formas de poder</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lastRenderedPageBreak/>
              <w:t>2.3 A natureza do poder Político</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2.4 A origem e função do Estado</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2.5 História e política</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2.6 Autores clássicos da filosofia política</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2.7 Os regimes políticos</w:t>
            </w:r>
          </w:p>
          <w:p w:rsidR="00401C70" w:rsidRPr="00401C70"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2.8 Ética e Política</w:t>
            </w:r>
          </w:p>
          <w:p w:rsidR="00401C70" w:rsidRPr="00815FBF" w:rsidRDefault="00401C70" w:rsidP="00401C70">
            <w:pPr>
              <w:widowControl w:val="0"/>
              <w:spacing w:before="120" w:line="160" w:lineRule="atLeast"/>
              <w:rPr>
                <w:rFonts w:ascii="Arial" w:hAnsi="Arial" w:cs="Arial"/>
                <w:b/>
                <w:sz w:val="24"/>
                <w:szCs w:val="24"/>
              </w:rPr>
            </w:pPr>
            <w:r w:rsidRPr="00401C70">
              <w:rPr>
                <w:rFonts w:ascii="Arial" w:hAnsi="Arial" w:cs="Arial"/>
                <w:b/>
                <w:sz w:val="24"/>
                <w:szCs w:val="24"/>
              </w:rPr>
              <w:t>2.9 Política e Cidadania</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E43C3D"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rsidR="00105B42" w:rsidRDefault="00105B42" w:rsidP="00105B42">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B5529">
        <w:rPr>
          <w:rFonts w:ascii="Arial" w:hAnsi="Arial" w:cs="Arial"/>
          <w:sz w:val="24"/>
          <w:szCs w:val="24"/>
        </w:rPr>
        <w:t>Aulas expositiv</w:t>
      </w:r>
      <w:r>
        <w:rPr>
          <w:rFonts w:ascii="Arial" w:hAnsi="Arial" w:cs="Arial"/>
          <w:sz w:val="24"/>
          <w:szCs w:val="24"/>
        </w:rPr>
        <w:t>o-dialogadas, com leitura, análise e discussão de textos, além de outras atividades que engajem a turma na prática filosófica. Durante as aulas, os alunos são incentivados a terem uma postura ativa e crítica, tornando as aulas mais dinâmicas e despertando o interesse nas questões filosóficas.</w:t>
      </w:r>
    </w:p>
    <w:p w:rsidR="00105B42" w:rsidRDefault="00105B42" w:rsidP="00105B42">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Serão utilizados nas aulas quadro, giz, computador, projetor, além de outros materiais e recursos que, durante o curso, o professor e a turma julgarem necessários. O uso de celular e computador pelos alunos durante as aulas será permitido apenas quando estiver de acordo com a atividade proposta.</w:t>
      </w:r>
    </w:p>
    <w:p w:rsidR="00105B42" w:rsidRDefault="00105B42" w:rsidP="00105B42">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No decorrer das aulas, as atividades poderão sofrer alguma modificação para contemplar necessidades da turma, de modo que, em alguns casos, combinações feitas em sala de aula podem divergir do que está estabelecido neste plano.</w:t>
      </w:r>
    </w:p>
    <w:p w:rsidR="00105B42" w:rsidRPr="00B41619" w:rsidRDefault="00105B42" w:rsidP="00105B42">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Observações com vistas ao andamento das aulas:</w:t>
      </w:r>
    </w:p>
    <w:p w:rsidR="00105B42" w:rsidRPr="00B41619" w:rsidRDefault="00105B42" w:rsidP="00105B42">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o professor </w:t>
      </w:r>
      <w:r w:rsidRPr="00B41619">
        <w:rPr>
          <w:rFonts w:ascii="Arial" w:hAnsi="Arial" w:cs="Arial"/>
          <w:b/>
          <w:sz w:val="24"/>
          <w:szCs w:val="24"/>
        </w:rPr>
        <w:t>NÃO</w:t>
      </w:r>
      <w:r w:rsidRPr="00B41619">
        <w:rPr>
          <w:rFonts w:ascii="Arial" w:hAnsi="Arial" w:cs="Arial"/>
          <w:sz w:val="24"/>
          <w:szCs w:val="24"/>
        </w:rPr>
        <w:t xml:space="preserve"> autoriza nenhum tipo de gravação das aulas (som e/ou vídeo) ou divulgação dos materiais, como slides e/ou apostilas, sob pena de violação ao Art,46, IV, da Lei nº 9.610/98.</w:t>
      </w:r>
    </w:p>
    <w:p w:rsidR="00105B42" w:rsidRPr="00B41619" w:rsidRDefault="00105B42" w:rsidP="00105B42">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com base nas garantias de “livre manifestação do pensamento” e da “livre expressão da atividade intelectual, artística, científica e de comunicação, independentemente de censura ou licença”, previstas no Art.5 da Constituição Federal; bem como nos incisos II e III do Art.206, que preveem como princípios do ensino “a liberdade de aprender, ensinar, pesquisar e divulgar o pensamento, a arte e o saber” e também o “pluralismo de ideias e de concepções pedagógicas”, a atividade docente encontra o fundamento da assim chamada </w:t>
      </w:r>
      <w:r w:rsidRPr="00B41619">
        <w:rPr>
          <w:rFonts w:ascii="Arial" w:hAnsi="Arial" w:cs="Arial"/>
          <w:b/>
          <w:sz w:val="24"/>
          <w:szCs w:val="24"/>
        </w:rPr>
        <w:t xml:space="preserve">Liberdade </w:t>
      </w:r>
      <w:r>
        <w:rPr>
          <w:rFonts w:ascii="Arial" w:hAnsi="Arial" w:cs="Arial"/>
          <w:b/>
          <w:sz w:val="24"/>
          <w:szCs w:val="24"/>
        </w:rPr>
        <w:t xml:space="preserve">de </w:t>
      </w:r>
      <w:r w:rsidRPr="00B41619">
        <w:rPr>
          <w:rFonts w:ascii="Arial" w:hAnsi="Arial" w:cs="Arial"/>
          <w:b/>
          <w:sz w:val="24"/>
          <w:szCs w:val="24"/>
        </w:rPr>
        <w:t>cátedra</w:t>
      </w:r>
      <w:r w:rsidRPr="00B41619">
        <w:rPr>
          <w:rFonts w:ascii="Arial" w:hAnsi="Arial" w:cs="Arial"/>
          <w:sz w:val="24"/>
          <w:szCs w:val="24"/>
        </w:rPr>
        <w:t>, que será exercida durante esta proposta pedagógica.</w:t>
      </w:r>
    </w:p>
    <w:p w:rsidR="00105B42" w:rsidRPr="00D24202" w:rsidRDefault="00105B42" w:rsidP="00105B42">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vale lembrar ainda que palavras ofensivas e de menosprezo caracterizam o que o Código Penal tipifica como “crimes contra a honra”: </w:t>
      </w:r>
      <w:r w:rsidRPr="00B41619">
        <w:rPr>
          <w:rFonts w:ascii="Arial" w:hAnsi="Arial" w:cs="Arial"/>
          <w:b/>
          <w:sz w:val="24"/>
          <w:szCs w:val="24"/>
        </w:rPr>
        <w:t>difamação</w:t>
      </w:r>
      <w:r w:rsidRPr="00B41619">
        <w:rPr>
          <w:rFonts w:ascii="Arial" w:hAnsi="Arial" w:cs="Arial"/>
          <w:sz w:val="24"/>
          <w:szCs w:val="24"/>
        </w:rPr>
        <w:t xml:space="preserve"> (Art. 139) imputar fato ofensivo à reputação; </w:t>
      </w:r>
      <w:r w:rsidRPr="00B41619">
        <w:rPr>
          <w:rFonts w:ascii="Arial" w:hAnsi="Arial" w:cs="Arial"/>
          <w:b/>
          <w:sz w:val="24"/>
          <w:szCs w:val="24"/>
        </w:rPr>
        <w:t>injúria</w:t>
      </w:r>
      <w:r w:rsidRPr="00B41619">
        <w:rPr>
          <w:rFonts w:ascii="Arial" w:hAnsi="Arial" w:cs="Arial"/>
          <w:sz w:val="24"/>
          <w:szCs w:val="24"/>
        </w:rPr>
        <w:t xml:space="preserve"> (Art. 140) ofender a dignidade ou o decoro; </w:t>
      </w:r>
      <w:r w:rsidRPr="00B41619">
        <w:rPr>
          <w:rFonts w:ascii="Arial" w:hAnsi="Arial" w:cs="Arial"/>
          <w:b/>
          <w:sz w:val="24"/>
          <w:szCs w:val="24"/>
        </w:rPr>
        <w:t>calúnia</w:t>
      </w:r>
      <w:r w:rsidRPr="00B41619">
        <w:rPr>
          <w:rFonts w:ascii="Arial" w:hAnsi="Arial" w:cs="Arial"/>
          <w:sz w:val="24"/>
          <w:szCs w:val="24"/>
        </w:rPr>
        <w:t xml:space="preserve"> (Art.138) imputar falsamente fato definido como crime e </w:t>
      </w:r>
      <w:r w:rsidRPr="00B41619">
        <w:rPr>
          <w:rFonts w:ascii="Arial" w:hAnsi="Arial" w:cs="Arial"/>
          <w:b/>
          <w:sz w:val="24"/>
          <w:szCs w:val="24"/>
        </w:rPr>
        <w:t>desacato</w:t>
      </w:r>
      <w:r w:rsidRPr="00B41619">
        <w:rPr>
          <w:rFonts w:ascii="Arial" w:hAnsi="Arial" w:cs="Arial"/>
          <w:sz w:val="24"/>
          <w:szCs w:val="24"/>
        </w:rPr>
        <w:t xml:space="preserve"> (Art.331) desacatar funcionário público no exercício da função ou em razão dela.</w:t>
      </w:r>
    </w:p>
    <w:p w:rsidR="002E2A50" w:rsidRPr="00815FBF" w:rsidRDefault="002E2A50" w:rsidP="009D6CAE">
      <w:pPr>
        <w:spacing w:before="120" w:line="160" w:lineRule="atLeast"/>
        <w:rPr>
          <w:rFonts w:ascii="Arial" w:hAnsi="Arial" w:cs="Arial"/>
          <w:sz w:val="24"/>
          <w:szCs w:val="24"/>
        </w:rPr>
      </w:pPr>
    </w:p>
    <w:p w:rsidR="002E2A50" w:rsidRPr="00E43C3D"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rsidR="00105B42" w:rsidRDefault="00105B42" w:rsidP="00105B42">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 avaliação será feita em três etapas cumulativas, sendo elas:</w:t>
      </w:r>
    </w:p>
    <w:p w:rsidR="00105B42" w:rsidRDefault="00105B42" w:rsidP="00105B42">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Atividades realizadas em aula (35 pontos);</w:t>
      </w:r>
    </w:p>
    <w:p w:rsidR="00105B42" w:rsidRDefault="00105B42" w:rsidP="00105B42">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Seminário em grupo (35 pontos);</w:t>
      </w:r>
    </w:p>
    <w:p w:rsidR="00105B42" w:rsidRPr="00480EAD" w:rsidRDefault="00105B42" w:rsidP="00105B42">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Prova objetiva (30 pontos)</w:t>
      </w:r>
      <w:r>
        <w:rPr>
          <w:rFonts w:ascii="Arial" w:hAnsi="Arial" w:cs="Arial"/>
          <w:szCs w:val="24"/>
        </w:rPr>
        <w:t>.</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Justificativa da Falta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lastRenderedPageBreak/>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C34CFB" w:rsidRPr="00E43C3D" w:rsidRDefault="00C34CFB"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6.</w:t>
      </w:r>
      <w:r w:rsidRPr="00E43C3D">
        <w:rPr>
          <w:rFonts w:ascii="Arial" w:hAnsi="Arial" w:cs="Arial"/>
          <w:sz w:val="24"/>
          <w:szCs w:val="24"/>
        </w:rPr>
        <w:t xml:space="preserve"> </w:t>
      </w:r>
      <w:r w:rsidRPr="00E43C3D">
        <w:rPr>
          <w:rFonts w:ascii="Arial" w:hAnsi="Arial" w:cs="Arial"/>
          <w:b/>
          <w:sz w:val="24"/>
          <w:szCs w:val="24"/>
        </w:rPr>
        <w:t>Horário disponível para atendimento presencial:</w:t>
      </w:r>
      <w:r w:rsidRPr="00E43C3D">
        <w:rPr>
          <w:rFonts w:ascii="Arial" w:hAnsi="Arial" w:cs="Arial"/>
          <w:sz w:val="24"/>
          <w:szCs w:val="24"/>
        </w:rPr>
        <w:t xml:space="preserve"> </w:t>
      </w:r>
    </w:p>
    <w:p w:rsidR="00105B42" w:rsidRPr="00E12146" w:rsidRDefault="00105B42" w:rsidP="00105B42">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12146">
        <w:rPr>
          <w:rFonts w:ascii="Arial" w:hAnsi="Arial" w:cs="Arial"/>
          <w:sz w:val="24"/>
          <w:szCs w:val="24"/>
        </w:rPr>
        <w:t>Terças</w:t>
      </w:r>
      <w:r>
        <w:rPr>
          <w:rFonts w:ascii="Arial" w:hAnsi="Arial" w:cs="Arial"/>
          <w:sz w:val="24"/>
          <w:szCs w:val="24"/>
        </w:rPr>
        <w:t>, das 9h às 10h e das 17h às 18h; quartas, das 8h às 9h e das 15h às 18h; sextas, das 14h às 16h. Preferencialmente combinar em aula ou pelo email marianoaraujo@sapucaia.ifsul.edu.br.</w:t>
      </w:r>
    </w:p>
    <w:p w:rsidR="00C34CFB" w:rsidRDefault="00C34CFB" w:rsidP="009D6CAE">
      <w:pPr>
        <w:pStyle w:val="Corpodetexto2"/>
        <w:widowControl/>
        <w:spacing w:line="160" w:lineRule="atLeast"/>
        <w:rPr>
          <w:rFonts w:ascii="Arial" w:hAnsi="Arial" w:cs="Arial"/>
          <w:szCs w:val="24"/>
        </w:rPr>
      </w:pPr>
    </w:p>
    <w:p w:rsidR="00C34CFB" w:rsidRPr="00815FBF" w:rsidRDefault="00C34CFB" w:rsidP="009D6CAE">
      <w:pPr>
        <w:pStyle w:val="Corpodetexto2"/>
        <w:widowControl/>
        <w:spacing w:line="160" w:lineRule="atLeast"/>
        <w:rPr>
          <w:rFonts w:ascii="Arial" w:hAnsi="Arial" w:cs="Arial"/>
          <w:szCs w:val="24"/>
        </w:rPr>
      </w:pPr>
    </w:p>
    <w:p w:rsidR="00401C70" w:rsidRDefault="00614B8B" w:rsidP="00401C70">
      <w:pPr>
        <w:pStyle w:val="Ttulo1"/>
        <w:pBdr>
          <w:top w:val="single" w:sz="4" w:space="1" w:color="auto"/>
          <w:left w:val="single" w:sz="4" w:space="4" w:color="auto"/>
          <w:bottom w:val="single" w:sz="4" w:space="1" w:color="auto"/>
          <w:right w:val="single" w:sz="4" w:space="4" w:color="auto"/>
        </w:pBdr>
        <w:spacing w:before="120" w:line="160" w:lineRule="atLeast"/>
      </w:pPr>
      <w:r>
        <w:rPr>
          <w:rFonts w:ascii="Arial" w:hAnsi="Arial" w:cs="Arial"/>
          <w:sz w:val="24"/>
          <w:szCs w:val="24"/>
        </w:rPr>
        <w:t>7</w:t>
      </w:r>
      <w:r w:rsidR="002E2A50" w:rsidRPr="00433787">
        <w:rPr>
          <w:rFonts w:ascii="Arial" w:hAnsi="Arial" w:cs="Arial"/>
          <w:sz w:val="24"/>
          <w:szCs w:val="24"/>
        </w:rPr>
        <w:t>.Bibliografia básica:</w:t>
      </w:r>
    </w:p>
    <w:p w:rsidR="00401C70" w:rsidRPr="00401C70" w:rsidRDefault="00401C70" w:rsidP="00401C70">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401C70">
        <w:rPr>
          <w:rFonts w:ascii="Arial" w:hAnsi="Arial" w:cs="Arial"/>
          <w:sz w:val="24"/>
          <w:szCs w:val="24"/>
        </w:rPr>
        <w:t>ARANHA, Maria Lúcia de Arruda. Filosofando: Introdução à Filosofia. São</w:t>
      </w:r>
    </w:p>
    <w:p w:rsidR="00401C70" w:rsidRPr="00401C70" w:rsidRDefault="00401C70" w:rsidP="00401C70">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401C70">
        <w:rPr>
          <w:rFonts w:ascii="Arial" w:hAnsi="Arial" w:cs="Arial"/>
          <w:sz w:val="24"/>
          <w:szCs w:val="24"/>
        </w:rPr>
        <w:t>Paulo: Moderna, 2009.</w:t>
      </w:r>
    </w:p>
    <w:p w:rsidR="00401C70" w:rsidRPr="00401C70" w:rsidRDefault="00401C70" w:rsidP="00401C70">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401C70">
        <w:rPr>
          <w:rFonts w:ascii="Arial" w:hAnsi="Arial" w:cs="Arial"/>
          <w:sz w:val="24"/>
          <w:szCs w:val="24"/>
        </w:rPr>
        <w:t>CHAUI, Marilena. Convite à Filosofia. São Paulo: Ática, 2003.</w:t>
      </w:r>
    </w:p>
    <w:p w:rsidR="00401C70" w:rsidRPr="00401C70" w:rsidRDefault="00401C70" w:rsidP="00401C70">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401C70">
        <w:rPr>
          <w:rFonts w:ascii="Arial" w:hAnsi="Arial" w:cs="Arial"/>
          <w:sz w:val="24"/>
          <w:szCs w:val="24"/>
        </w:rPr>
        <w:t>COTRIN, Gilberto. Fundamentos da Filosofia. São Paulo: Saraiva, 1999.</w:t>
      </w:r>
    </w:p>
    <w:p w:rsidR="002E2A50" w:rsidRPr="00815FBF" w:rsidRDefault="002E2A50" w:rsidP="009D6CAE">
      <w:pPr>
        <w:pStyle w:val="Corpodetexto"/>
        <w:spacing w:line="160" w:lineRule="atLeast"/>
        <w:rPr>
          <w:rFonts w:ascii="Arial" w:hAnsi="Arial" w:cs="Arial"/>
          <w:szCs w:val="24"/>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rsidR="00105B42" w:rsidRPr="00E43C3D" w:rsidRDefault="00105B42" w:rsidP="00105B4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Pr>
          <w:rFonts w:ascii="Arial" w:hAnsi="Arial" w:cs="Arial"/>
          <w:b/>
          <w:snapToGrid w:val="0"/>
          <w:sz w:val="24"/>
          <w:szCs w:val="24"/>
          <w:lang w:eastAsia="pt-BR"/>
        </w:rPr>
        <w:t>Técnico em Evenntos</w:t>
      </w:r>
    </w:p>
    <w:p w:rsidR="00105B42" w:rsidRPr="00E43C3D" w:rsidRDefault="00105B42" w:rsidP="00105B42">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Disciplina:</w:t>
      </w:r>
      <w:r>
        <w:rPr>
          <w:rFonts w:ascii="Arial" w:hAnsi="Arial" w:cs="Arial"/>
          <w:b/>
          <w:snapToGrid w:val="0"/>
          <w:lang w:eastAsia="pt-BR"/>
        </w:rPr>
        <w:t xml:space="preserve"> Filosofia III</w:t>
      </w:r>
    </w:p>
    <w:p w:rsidR="00105B42" w:rsidRPr="00E43C3D" w:rsidRDefault="00105B42" w:rsidP="00105B42">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 xml:space="preserve">Professor(a): </w:t>
      </w:r>
      <w:r>
        <w:rPr>
          <w:rFonts w:ascii="Arial" w:hAnsi="Arial" w:cs="Arial"/>
          <w:b/>
          <w:snapToGrid w:val="0"/>
          <w:lang w:eastAsia="pt-BR"/>
        </w:rPr>
        <w:t>Mariano Bay de Araújo</w:t>
      </w:r>
      <w:r w:rsidRPr="00E43C3D">
        <w:rPr>
          <w:rFonts w:ascii="Arial" w:hAnsi="Arial" w:cs="Arial"/>
          <w:b/>
          <w:snapToGrid w:val="0"/>
          <w:lang w:eastAsia="pt-BR"/>
        </w:rPr>
        <w:t xml:space="preserve">                                                                                           </w:t>
      </w:r>
    </w:p>
    <w:p w:rsidR="00105B42" w:rsidRPr="00E43C3D" w:rsidRDefault="00105B42" w:rsidP="00105B42">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Ano/semestre: 2019/2</w:t>
      </w:r>
    </w:p>
    <w:p w:rsidR="00105B42" w:rsidRPr="00E43C3D" w:rsidRDefault="00105B42" w:rsidP="00105B42">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Pr>
          <w:rFonts w:ascii="Arial" w:hAnsi="Arial" w:cs="Arial"/>
          <w:b/>
          <w:snapToGrid w:val="0"/>
          <w:lang w:eastAsia="pt-BR"/>
        </w:rPr>
        <w:t xml:space="preserve"> 3M</w:t>
      </w:r>
    </w:p>
    <w:p w:rsidR="002E2A50" w:rsidRPr="00815FBF" w:rsidRDefault="00105B42" w:rsidP="00227D35">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Email: marianoaraujo@sapucaia.ifsul.edu.br</w:t>
      </w:r>
      <w:r w:rsidRPr="00E43C3D">
        <w:rPr>
          <w:rFonts w:ascii="Arial" w:hAnsi="Arial" w:cs="Arial"/>
          <w:b/>
          <w:snapToGrid w:val="0"/>
          <w:lang w:eastAsia="pt-BR"/>
        </w:rPr>
        <w:t xml:space="preserve">                                               </w:t>
      </w:r>
      <w:r w:rsidR="002E2A50" w:rsidRPr="00815FBF">
        <w:rPr>
          <w:rFonts w:ascii="Arial" w:hAnsi="Arial" w:cs="Arial"/>
          <w:b/>
          <w:snapToGrid w:val="0"/>
          <w:lang w:eastAsia="pt-BR"/>
        </w:rPr>
        <w:t xml:space="preserve">                                                                                                 </w:t>
      </w:r>
    </w:p>
    <w:p w:rsidR="002E2A50" w:rsidRPr="00815FBF" w:rsidRDefault="002E2A50" w:rsidP="009D6CAE">
      <w:pPr>
        <w:pStyle w:val="Corpodetexto"/>
        <w:spacing w:line="160" w:lineRule="atLeast"/>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938"/>
      </w:tblGrid>
      <w:tr w:rsidR="00344E6E" w:rsidRPr="00815FBF" w:rsidTr="00344E6E">
        <w:trPr>
          <w:trHeight w:val="273"/>
        </w:trPr>
        <w:tc>
          <w:tcPr>
            <w:tcW w:w="1242" w:type="dxa"/>
          </w:tcPr>
          <w:p w:rsidR="00344E6E" w:rsidRPr="00DF301B" w:rsidRDefault="00344E6E" w:rsidP="00664DBE">
            <w:pPr>
              <w:pStyle w:val="Corpodetexto"/>
              <w:spacing w:line="160" w:lineRule="atLeast"/>
              <w:jc w:val="center"/>
              <w:rPr>
                <w:rFonts w:ascii="Arial" w:hAnsi="Arial" w:cs="Arial"/>
                <w:sz w:val="24"/>
                <w:szCs w:val="24"/>
                <w:lang w:eastAsia="pt-BR"/>
              </w:rPr>
            </w:pPr>
            <w:bookmarkStart w:id="0" w:name="_GoBack"/>
            <w:r w:rsidRPr="00DF301B">
              <w:rPr>
                <w:rFonts w:ascii="Arial" w:hAnsi="Arial" w:cs="Arial"/>
                <w:sz w:val="24"/>
                <w:szCs w:val="24"/>
                <w:lang w:eastAsia="pt-BR"/>
              </w:rPr>
              <w:t>Aula</w:t>
            </w:r>
          </w:p>
        </w:tc>
        <w:tc>
          <w:tcPr>
            <w:tcW w:w="7938" w:type="dxa"/>
          </w:tcPr>
          <w:p w:rsidR="00344E6E" w:rsidRPr="00DF301B" w:rsidRDefault="00344E6E" w:rsidP="00664DBE">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Conteúdo Programático</w:t>
            </w:r>
          </w:p>
        </w:tc>
      </w:tr>
      <w:tr w:rsidR="00344E6E" w:rsidRPr="00815FBF" w:rsidTr="00344E6E">
        <w:trPr>
          <w:trHeight w:val="135"/>
        </w:trPr>
        <w:tc>
          <w:tcPr>
            <w:tcW w:w="1242" w:type="dxa"/>
          </w:tcPr>
          <w:p w:rsidR="00344E6E" w:rsidRPr="00DF301B" w:rsidRDefault="00344E6E" w:rsidP="00664DBE">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1</w:t>
            </w:r>
          </w:p>
        </w:tc>
        <w:tc>
          <w:tcPr>
            <w:tcW w:w="7938"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Apresentação da disciplina</w:t>
            </w:r>
          </w:p>
        </w:tc>
      </w:tr>
      <w:tr w:rsidR="00344E6E" w:rsidRPr="00815FBF" w:rsidTr="00344E6E">
        <w:trPr>
          <w:trHeight w:val="139"/>
        </w:trPr>
        <w:tc>
          <w:tcPr>
            <w:tcW w:w="1242" w:type="dxa"/>
          </w:tcPr>
          <w:p w:rsidR="00344E6E" w:rsidRPr="00DF301B" w:rsidRDefault="00344E6E" w:rsidP="00664DBE">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2</w:t>
            </w:r>
            <w:r>
              <w:rPr>
                <w:rFonts w:ascii="Arial" w:hAnsi="Arial" w:cs="Arial"/>
                <w:sz w:val="24"/>
                <w:szCs w:val="24"/>
                <w:lang w:eastAsia="pt-BR"/>
              </w:rPr>
              <w:t xml:space="preserve"> à 5</w:t>
            </w:r>
          </w:p>
        </w:tc>
        <w:tc>
          <w:tcPr>
            <w:tcW w:w="7938"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Juízo de fato e juízo de valor; valores; relativismo e ética objetiva, atividades</w:t>
            </w:r>
          </w:p>
        </w:tc>
      </w:tr>
      <w:tr w:rsidR="00344E6E" w:rsidRPr="00815FBF" w:rsidTr="00344E6E">
        <w:trPr>
          <w:trHeight w:val="139"/>
        </w:trPr>
        <w:tc>
          <w:tcPr>
            <w:tcW w:w="1242"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5 à 7</w:t>
            </w:r>
          </w:p>
        </w:tc>
        <w:tc>
          <w:tcPr>
            <w:tcW w:w="7938"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Seminários em grupo</w:t>
            </w:r>
          </w:p>
        </w:tc>
      </w:tr>
      <w:tr w:rsidR="00344E6E" w:rsidRPr="00815FBF" w:rsidTr="00344E6E">
        <w:trPr>
          <w:trHeight w:val="139"/>
        </w:trPr>
        <w:tc>
          <w:tcPr>
            <w:tcW w:w="1242"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8</w:t>
            </w:r>
          </w:p>
        </w:tc>
        <w:tc>
          <w:tcPr>
            <w:tcW w:w="7938"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344E6E" w:rsidRPr="00815FBF" w:rsidTr="00344E6E">
        <w:trPr>
          <w:trHeight w:val="139"/>
        </w:trPr>
        <w:tc>
          <w:tcPr>
            <w:tcW w:w="1242"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9</w:t>
            </w:r>
          </w:p>
        </w:tc>
        <w:tc>
          <w:tcPr>
            <w:tcW w:w="7938"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344E6E" w:rsidRPr="00815FBF" w:rsidTr="00344E6E">
        <w:trPr>
          <w:trHeight w:val="139"/>
        </w:trPr>
        <w:tc>
          <w:tcPr>
            <w:tcW w:w="1242"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10</w:t>
            </w:r>
          </w:p>
        </w:tc>
        <w:tc>
          <w:tcPr>
            <w:tcW w:w="7938" w:type="dxa"/>
          </w:tcPr>
          <w:p w:rsidR="00344E6E" w:rsidRPr="00DF301B"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r w:rsidR="00247878" w:rsidRPr="00815FBF" w:rsidTr="00344E6E">
        <w:trPr>
          <w:trHeight w:val="139"/>
        </w:trPr>
        <w:tc>
          <w:tcPr>
            <w:tcW w:w="1242" w:type="dxa"/>
          </w:tcPr>
          <w:p w:rsidR="00247878" w:rsidRDefault="00247878"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11</w:t>
            </w:r>
          </w:p>
        </w:tc>
        <w:tc>
          <w:tcPr>
            <w:tcW w:w="7938" w:type="dxa"/>
          </w:tcPr>
          <w:p w:rsidR="00247878" w:rsidRDefault="00247878"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História e política</w:t>
            </w:r>
          </w:p>
        </w:tc>
      </w:tr>
      <w:tr w:rsidR="00344E6E" w:rsidRPr="00815FBF" w:rsidTr="00344E6E">
        <w:trPr>
          <w:trHeight w:val="139"/>
        </w:trPr>
        <w:tc>
          <w:tcPr>
            <w:tcW w:w="1242" w:type="dxa"/>
          </w:tcPr>
          <w:p w:rsidR="00344E6E" w:rsidRDefault="00344E6E"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12</w:t>
            </w:r>
          </w:p>
        </w:tc>
        <w:tc>
          <w:tcPr>
            <w:tcW w:w="7938" w:type="dxa"/>
          </w:tcPr>
          <w:p w:rsidR="00344E6E" w:rsidRDefault="00247878"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Formas de governo</w:t>
            </w:r>
          </w:p>
        </w:tc>
      </w:tr>
      <w:tr w:rsidR="00247878" w:rsidRPr="00815FBF" w:rsidTr="00344E6E">
        <w:trPr>
          <w:trHeight w:val="139"/>
        </w:trPr>
        <w:tc>
          <w:tcPr>
            <w:tcW w:w="1242" w:type="dxa"/>
          </w:tcPr>
          <w:p w:rsidR="00247878"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13</w:t>
            </w:r>
          </w:p>
        </w:tc>
        <w:tc>
          <w:tcPr>
            <w:tcW w:w="7938" w:type="dxa"/>
          </w:tcPr>
          <w:p w:rsidR="00247878"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Liberdade política  e liberdade individual</w:t>
            </w:r>
          </w:p>
        </w:tc>
      </w:tr>
      <w:tr w:rsidR="00247878" w:rsidRPr="00815FBF" w:rsidTr="00344E6E">
        <w:trPr>
          <w:trHeight w:val="139"/>
        </w:trPr>
        <w:tc>
          <w:tcPr>
            <w:tcW w:w="1242" w:type="dxa"/>
          </w:tcPr>
          <w:p w:rsidR="00247878"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14 à 17</w:t>
            </w:r>
          </w:p>
        </w:tc>
        <w:tc>
          <w:tcPr>
            <w:tcW w:w="7938" w:type="dxa"/>
          </w:tcPr>
          <w:p w:rsidR="00247878" w:rsidRPr="00DF301B"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Seminários em grupo</w:t>
            </w:r>
          </w:p>
        </w:tc>
      </w:tr>
      <w:tr w:rsidR="00247878" w:rsidRPr="00815FBF" w:rsidTr="00344E6E">
        <w:trPr>
          <w:trHeight w:val="139"/>
        </w:trPr>
        <w:tc>
          <w:tcPr>
            <w:tcW w:w="1242" w:type="dxa"/>
          </w:tcPr>
          <w:p w:rsidR="00247878"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18</w:t>
            </w:r>
          </w:p>
        </w:tc>
        <w:tc>
          <w:tcPr>
            <w:tcW w:w="7938" w:type="dxa"/>
          </w:tcPr>
          <w:p w:rsidR="00247878" w:rsidRPr="00DF301B"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247878" w:rsidRPr="00815FBF" w:rsidTr="00344E6E">
        <w:trPr>
          <w:trHeight w:val="139"/>
        </w:trPr>
        <w:tc>
          <w:tcPr>
            <w:tcW w:w="1242" w:type="dxa"/>
          </w:tcPr>
          <w:p w:rsidR="00247878"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19</w:t>
            </w:r>
          </w:p>
        </w:tc>
        <w:tc>
          <w:tcPr>
            <w:tcW w:w="7938" w:type="dxa"/>
          </w:tcPr>
          <w:p w:rsidR="00247878" w:rsidRPr="00DF301B"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247878" w:rsidRPr="00815FBF" w:rsidTr="00344E6E">
        <w:trPr>
          <w:trHeight w:val="139"/>
        </w:trPr>
        <w:tc>
          <w:tcPr>
            <w:tcW w:w="1242" w:type="dxa"/>
          </w:tcPr>
          <w:p w:rsidR="00247878" w:rsidRPr="00DF301B"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20</w:t>
            </w:r>
          </w:p>
        </w:tc>
        <w:tc>
          <w:tcPr>
            <w:tcW w:w="7938" w:type="dxa"/>
          </w:tcPr>
          <w:p w:rsidR="00247878" w:rsidRPr="00DF301B" w:rsidRDefault="00247878" w:rsidP="00247878">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bookmarkEnd w:id="0"/>
    </w:tbl>
    <w:p w:rsidR="002E2A50" w:rsidRPr="00815FBF" w:rsidRDefault="002E2A50" w:rsidP="009D6CAE">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032" w:rsidRDefault="00A27032" w:rsidP="00E6564C">
      <w:r>
        <w:separator/>
      </w:r>
    </w:p>
  </w:endnote>
  <w:endnote w:type="continuationSeparator" w:id="0">
    <w:p w:rsidR="00A27032" w:rsidRDefault="00A27032"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032" w:rsidRDefault="00A27032" w:rsidP="00E6564C">
      <w:r>
        <w:separator/>
      </w:r>
    </w:p>
  </w:footnote>
  <w:footnote w:type="continuationSeparator" w:id="0">
    <w:p w:rsidR="00A27032" w:rsidRDefault="00A27032" w:rsidP="00E656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15:restartNumberingAfterBreak="0">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2C266830"/>
    <w:multiLevelType w:val="hybridMultilevel"/>
    <w:tmpl w:val="9D30D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43C1C"/>
    <w:rsid w:val="0000762B"/>
    <w:rsid w:val="000218DA"/>
    <w:rsid w:val="000661E9"/>
    <w:rsid w:val="000666ED"/>
    <w:rsid w:val="000B0B0E"/>
    <w:rsid w:val="000D2B1A"/>
    <w:rsid w:val="000D3FDD"/>
    <w:rsid w:val="000F323D"/>
    <w:rsid w:val="000F78EB"/>
    <w:rsid w:val="00105B42"/>
    <w:rsid w:val="00133858"/>
    <w:rsid w:val="00136092"/>
    <w:rsid w:val="00140462"/>
    <w:rsid w:val="00155214"/>
    <w:rsid w:val="00160596"/>
    <w:rsid w:val="0016260E"/>
    <w:rsid w:val="00166696"/>
    <w:rsid w:val="00172B8D"/>
    <w:rsid w:val="001741A8"/>
    <w:rsid w:val="00183EFE"/>
    <w:rsid w:val="001B24B7"/>
    <w:rsid w:val="001D5C44"/>
    <w:rsid w:val="001F79C5"/>
    <w:rsid w:val="00203D7F"/>
    <w:rsid w:val="00205CE5"/>
    <w:rsid w:val="002250EB"/>
    <w:rsid w:val="00227D35"/>
    <w:rsid w:val="00231825"/>
    <w:rsid w:val="00236C43"/>
    <w:rsid w:val="00247878"/>
    <w:rsid w:val="00254DD2"/>
    <w:rsid w:val="002568A8"/>
    <w:rsid w:val="002755B0"/>
    <w:rsid w:val="00285118"/>
    <w:rsid w:val="00290E5E"/>
    <w:rsid w:val="002A4D7D"/>
    <w:rsid w:val="002A5001"/>
    <w:rsid w:val="002B1A8D"/>
    <w:rsid w:val="002E2A50"/>
    <w:rsid w:val="002F1703"/>
    <w:rsid w:val="002F7AB7"/>
    <w:rsid w:val="00320BA4"/>
    <w:rsid w:val="003346A1"/>
    <w:rsid w:val="00343C1C"/>
    <w:rsid w:val="00344E6E"/>
    <w:rsid w:val="00346741"/>
    <w:rsid w:val="00354ADE"/>
    <w:rsid w:val="00362C23"/>
    <w:rsid w:val="003724EE"/>
    <w:rsid w:val="00380BDF"/>
    <w:rsid w:val="003B208B"/>
    <w:rsid w:val="00401C70"/>
    <w:rsid w:val="00404492"/>
    <w:rsid w:val="004178BC"/>
    <w:rsid w:val="00433787"/>
    <w:rsid w:val="004345E5"/>
    <w:rsid w:val="00435825"/>
    <w:rsid w:val="00462745"/>
    <w:rsid w:val="004667B2"/>
    <w:rsid w:val="00474A40"/>
    <w:rsid w:val="004909BF"/>
    <w:rsid w:val="00493A20"/>
    <w:rsid w:val="00494F22"/>
    <w:rsid w:val="004A34F4"/>
    <w:rsid w:val="004C73B7"/>
    <w:rsid w:val="004F5EEF"/>
    <w:rsid w:val="004F76B7"/>
    <w:rsid w:val="00502D53"/>
    <w:rsid w:val="00517CA0"/>
    <w:rsid w:val="0052206A"/>
    <w:rsid w:val="005316E2"/>
    <w:rsid w:val="00545F43"/>
    <w:rsid w:val="005514C4"/>
    <w:rsid w:val="005765D7"/>
    <w:rsid w:val="00593C24"/>
    <w:rsid w:val="005C08FE"/>
    <w:rsid w:val="005D580B"/>
    <w:rsid w:val="005E25BB"/>
    <w:rsid w:val="005E3EC5"/>
    <w:rsid w:val="005E4932"/>
    <w:rsid w:val="00602FB2"/>
    <w:rsid w:val="00604261"/>
    <w:rsid w:val="00614B8B"/>
    <w:rsid w:val="006204BB"/>
    <w:rsid w:val="00635781"/>
    <w:rsid w:val="00635DF6"/>
    <w:rsid w:val="006370B1"/>
    <w:rsid w:val="00664DBE"/>
    <w:rsid w:val="006711CE"/>
    <w:rsid w:val="00673E3D"/>
    <w:rsid w:val="00695523"/>
    <w:rsid w:val="006B24B7"/>
    <w:rsid w:val="006B6C88"/>
    <w:rsid w:val="006E4606"/>
    <w:rsid w:val="007009C3"/>
    <w:rsid w:val="00710A01"/>
    <w:rsid w:val="00715B93"/>
    <w:rsid w:val="0073397E"/>
    <w:rsid w:val="00735F7A"/>
    <w:rsid w:val="00742142"/>
    <w:rsid w:val="00742C45"/>
    <w:rsid w:val="0075668E"/>
    <w:rsid w:val="00761DC9"/>
    <w:rsid w:val="00775F5D"/>
    <w:rsid w:val="0077668D"/>
    <w:rsid w:val="007774F7"/>
    <w:rsid w:val="007D286D"/>
    <w:rsid w:val="00802E48"/>
    <w:rsid w:val="00815FBF"/>
    <w:rsid w:val="00846639"/>
    <w:rsid w:val="00852BCE"/>
    <w:rsid w:val="0086089C"/>
    <w:rsid w:val="0087692F"/>
    <w:rsid w:val="008A406F"/>
    <w:rsid w:val="008F52A0"/>
    <w:rsid w:val="0091482B"/>
    <w:rsid w:val="00914D51"/>
    <w:rsid w:val="00916093"/>
    <w:rsid w:val="0091730E"/>
    <w:rsid w:val="009457DB"/>
    <w:rsid w:val="0095441E"/>
    <w:rsid w:val="0099293F"/>
    <w:rsid w:val="009A1790"/>
    <w:rsid w:val="009B7B07"/>
    <w:rsid w:val="009D6CAE"/>
    <w:rsid w:val="009E5DBC"/>
    <w:rsid w:val="00A14BF5"/>
    <w:rsid w:val="00A22346"/>
    <w:rsid w:val="00A27032"/>
    <w:rsid w:val="00A374CA"/>
    <w:rsid w:val="00A72E85"/>
    <w:rsid w:val="00A804DA"/>
    <w:rsid w:val="00A8658B"/>
    <w:rsid w:val="00A8773B"/>
    <w:rsid w:val="00AD57E5"/>
    <w:rsid w:val="00AE046E"/>
    <w:rsid w:val="00AE1885"/>
    <w:rsid w:val="00AF4B6E"/>
    <w:rsid w:val="00B00A5A"/>
    <w:rsid w:val="00B351A8"/>
    <w:rsid w:val="00B71019"/>
    <w:rsid w:val="00B75440"/>
    <w:rsid w:val="00B8702E"/>
    <w:rsid w:val="00B87871"/>
    <w:rsid w:val="00B92E0C"/>
    <w:rsid w:val="00BB1F0F"/>
    <w:rsid w:val="00BB2628"/>
    <w:rsid w:val="00BB53FB"/>
    <w:rsid w:val="00BB548B"/>
    <w:rsid w:val="00BC026D"/>
    <w:rsid w:val="00BD52D0"/>
    <w:rsid w:val="00BF43B4"/>
    <w:rsid w:val="00BF7EDC"/>
    <w:rsid w:val="00C048B9"/>
    <w:rsid w:val="00C2036B"/>
    <w:rsid w:val="00C311BC"/>
    <w:rsid w:val="00C34CFB"/>
    <w:rsid w:val="00C413ED"/>
    <w:rsid w:val="00C53EF2"/>
    <w:rsid w:val="00C77850"/>
    <w:rsid w:val="00C913F1"/>
    <w:rsid w:val="00C94D89"/>
    <w:rsid w:val="00CB0042"/>
    <w:rsid w:val="00CD4D19"/>
    <w:rsid w:val="00CF29E5"/>
    <w:rsid w:val="00D05D8D"/>
    <w:rsid w:val="00D10656"/>
    <w:rsid w:val="00D36A65"/>
    <w:rsid w:val="00D44381"/>
    <w:rsid w:val="00D56B02"/>
    <w:rsid w:val="00D6062F"/>
    <w:rsid w:val="00D61830"/>
    <w:rsid w:val="00D726DA"/>
    <w:rsid w:val="00D94E03"/>
    <w:rsid w:val="00DB0A45"/>
    <w:rsid w:val="00DB5A32"/>
    <w:rsid w:val="00DD46E8"/>
    <w:rsid w:val="00DF301B"/>
    <w:rsid w:val="00E0151C"/>
    <w:rsid w:val="00E358A0"/>
    <w:rsid w:val="00E43C3D"/>
    <w:rsid w:val="00E6564C"/>
    <w:rsid w:val="00EB29BF"/>
    <w:rsid w:val="00EC50F6"/>
    <w:rsid w:val="00ED1582"/>
    <w:rsid w:val="00ED19C2"/>
    <w:rsid w:val="00ED34DC"/>
    <w:rsid w:val="00EE055B"/>
    <w:rsid w:val="00EF076A"/>
    <w:rsid w:val="00F03ACE"/>
    <w:rsid w:val="00F42B82"/>
    <w:rsid w:val="00F54AFB"/>
    <w:rsid w:val="00F61B1A"/>
    <w:rsid w:val="00F64AF6"/>
    <w:rsid w:val="00F807A0"/>
    <w:rsid w:val="00F83C15"/>
    <w:rsid w:val="00F84782"/>
    <w:rsid w:val="00F91F48"/>
    <w:rsid w:val="00FA14C1"/>
    <w:rsid w:val="00FB0286"/>
    <w:rsid w:val="00FD3FF4"/>
    <w:rsid w:val="00FE0A9F"/>
    <w:rsid w:val="00FE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60682E"/>
  <w15:docId w15:val="{C3D1A774-FFE6-409D-861F-3351F0FA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styleId="NormalWeb">
    <w:name w:val="Normal (Web)"/>
    <w:basedOn w:val="Normal"/>
    <w:uiPriority w:val="99"/>
    <w:unhideWhenUsed/>
    <w:rsid w:val="00105B42"/>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D1DE-196D-4E64-BC46-9D222DCF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943</Words>
  <Characters>5098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6029</CharactersWithSpaces>
  <SharedDoc>false</SharedDoc>
  <HLinks>
    <vt:vector size="18" baseType="variant">
      <vt:variant>
        <vt:i4>5963857</vt:i4>
      </vt:variant>
      <vt:variant>
        <vt:i4>6</vt:i4>
      </vt:variant>
      <vt:variant>
        <vt:i4>0</vt:i4>
      </vt:variant>
      <vt:variant>
        <vt:i4>5</vt:i4>
      </vt:variant>
      <vt:variant>
        <vt:lpwstr>http://www.curriculosemfronteiras.org/vol2iss2articles/robertson.pdf</vt:lpwstr>
      </vt:variant>
      <vt:variant>
        <vt:lpwstr/>
      </vt:variant>
      <vt:variant>
        <vt:i4>85</vt:i4>
      </vt:variant>
      <vt:variant>
        <vt:i4>3</vt:i4>
      </vt:variant>
      <vt:variant>
        <vt:i4>0</vt:i4>
      </vt:variant>
      <vt:variant>
        <vt:i4>5</vt:i4>
      </vt:variant>
      <vt:variant>
        <vt:lpwstr>http://www.ifsul.edu.br/</vt:lpwstr>
      </vt:variant>
      <vt:variant>
        <vt:lpwstr/>
      </vt:variant>
      <vt:variant>
        <vt:i4>4915312</vt:i4>
      </vt:variant>
      <vt:variant>
        <vt:i4>0</vt:i4>
      </vt:variant>
      <vt:variant>
        <vt:i4>0</vt:i4>
      </vt:variant>
      <vt:variant>
        <vt:i4>5</vt:i4>
      </vt:variant>
      <vt:variant>
        <vt:lpwstr>mailto:coordpedagogica@sapucaia.ifsul.edu.br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6</cp:revision>
  <cp:lastPrinted>2013-05-18T00:04:00Z</cp:lastPrinted>
  <dcterms:created xsi:type="dcterms:W3CDTF">2019-07-11T18:52:00Z</dcterms:created>
  <dcterms:modified xsi:type="dcterms:W3CDTF">2019-08-02T18:47:00Z</dcterms:modified>
</cp:coreProperties>
</file>