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5F528C" w:rsidRPr="00026D13" w:rsidRDefault="005F528C" w:rsidP="00855072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Eventos, Informática (MANHÃ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5F528C" w:rsidP="00855072">
      <w:pPr>
        <w:widowControl w:val="0"/>
        <w:spacing w:line="160" w:lineRule="atLeast"/>
        <w:ind w:firstLine="708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  Curso Técnico em Eventos, Plásticos e Mecânica (TARDE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z w:val="22"/>
          <w:szCs w:val="22"/>
        </w:rPr>
        <w:t>Inglês 1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intermediário (Turma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1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K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- manhã/ Turma 1P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803BE9">
        <w:rPr>
          <w:rFonts w:ascii="Arial" w:hAnsi="Arial" w:cs="Arial"/>
          <w:snapToGrid w:val="0"/>
          <w:sz w:val="22"/>
          <w:szCs w:val="22"/>
          <w:lang w:eastAsia="pt-BR"/>
        </w:rPr>
        <w:t>2019/2</w:t>
      </w:r>
    </w:p>
    <w:p w:rsidR="005F545D" w:rsidRPr="00026D13" w:rsidRDefault="00A81C72" w:rsidP="005F545D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5F545D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6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8"/>
            </w:tblGrid>
            <w:tr w:rsidR="005F528C" w:rsidRPr="00026D13" w:rsidTr="00855072">
              <w:trPr>
                <w:trHeight w:val="381"/>
              </w:trPr>
              <w:tc>
                <w:tcPr>
                  <w:tcW w:w="10668" w:type="dxa"/>
                </w:tcPr>
                <w:p w:rsidR="005F528C" w:rsidRPr="00026D13" w:rsidRDefault="005F528C" w:rsidP="0085507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026D13">
                    <w:rPr>
                      <w:sz w:val="22"/>
                      <w:szCs w:val="22"/>
                    </w:rPr>
                    <w:t xml:space="preserve">Desenvolvimento de habilidades comunicativas básicas em Língua Inglesa com </w:t>
                  </w:r>
                  <w:r w:rsidR="00855072" w:rsidRPr="00026D13">
                    <w:rPr>
                      <w:sz w:val="22"/>
                      <w:szCs w:val="22"/>
                    </w:rPr>
                    <w:t>ê</w:t>
                  </w:r>
                  <w:r w:rsidRPr="00026D13">
                    <w:rPr>
                      <w:sz w:val="22"/>
                      <w:szCs w:val="22"/>
                    </w:rPr>
                    <w:t xml:space="preserve">nfase nas estruturas de tempo presente, simples e contínuo, e futuro; na produção de sentido em diferentes contextos comunicativos na língua alvo; na aquisição de vocabulário básico, no âmbito do cotidiano; bem como na reflexão cultural, no pensamento crítico e na criatividade. </w:t>
                  </w:r>
                </w:p>
                <w:p w:rsidR="00855072" w:rsidRPr="00026D13" w:rsidRDefault="00855072" w:rsidP="0085507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528C" w:rsidRPr="00026D13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 apresentar-se e falar de suas características pessoais;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narrar as atividades diárias e expressar seus planos para o futuro;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expressar fatos relevantes que aconteceram no passado;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Enriquecer o vocabulário de língua inglesa e utilizá-lo no contexto de uso da língua;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 suas habilidades (no presente e no passado).</w:t>
            </w:r>
          </w:p>
          <w:p w:rsidR="00855072" w:rsidRPr="00026D13" w:rsidRDefault="00855072" w:rsidP="00855072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 – Quem Sou?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 Nome, origem, onde mora, o que faz, o que gosta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1.1.1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be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1.1.2 Adjetivos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1.1.3 Pronomes pessoais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 Conhecendo pessoas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1.2.1 Perguntas básicas – nome, origem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1.2.2 Pronomes interrogativos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1.2.3 Saudações e cumprimentos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 Rotina– Como é minha rotina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1.3.1 Verbos de rotina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1.3.2 Presente simples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1.3.3 Presente contínuo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II – Vocabulário Básico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 Família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2.2 Cores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2.3 Animais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2.4 Comida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2.5 Profissões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2.6 Partes do corpo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2.7 Roupas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2.8 Partes e móveis da casa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2.9 Lugares na cidade/campo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2.10 Hobbies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2.11 Emoções/sensações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 xml:space="preserve">UNIDADE III – </w:t>
            </w:r>
            <w:proofErr w:type="spellStart"/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Futuro</w:t>
            </w:r>
            <w:proofErr w:type="spellEnd"/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3.1 Will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 xml:space="preserve">3.2 Going to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IV – Habilidade/permissão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4.1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Can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26D1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4.2 May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V – Passado Simples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5.1 Verbos regulares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5.2 Verbos irregulares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5.3 Estruturas negativas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5.4 Estruturas interrogativas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Pr="00026D13" w:rsidRDefault="006F2E22" w:rsidP="00595F6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2</w:t>
      </w:r>
      <w:r w:rsidR="00595F64" w:rsidRPr="00026D13">
        <w:rPr>
          <w:rFonts w:ascii="Arial" w:eastAsia="Arial" w:hAnsi="Arial" w:cs="Arial"/>
          <w:sz w:val="22"/>
          <w:szCs w:val="22"/>
          <w:u w:val="single"/>
        </w:rPr>
        <w:t>º semestre:</w:t>
      </w:r>
    </w:p>
    <w:p w:rsidR="006F2E22" w:rsidRPr="006F2E22" w:rsidRDefault="006F2E22" w:rsidP="006F2E22">
      <w:pPr>
        <w:ind w:firstLine="284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>As avaliação descritas a seguir possuem o mesmo peso e a nota final será a média aritmética das notas a seguir:</w:t>
      </w:r>
    </w:p>
    <w:p w:rsidR="006F2E22" w:rsidRPr="006F2E22" w:rsidRDefault="006F2E22" w:rsidP="006F2E22">
      <w:pPr>
        <w:ind w:firstLine="284"/>
        <w:rPr>
          <w:rFonts w:ascii="Arial" w:eastAsia="Arial" w:hAnsi="Arial" w:cs="Arial"/>
          <w:sz w:val="22"/>
          <w:szCs w:val="22"/>
        </w:rPr>
      </w:pPr>
    </w:p>
    <w:p w:rsidR="006F2E22" w:rsidRPr="006F2E22" w:rsidRDefault="006F2E22" w:rsidP="006F2E22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 xml:space="preserve">a) </w:t>
      </w:r>
      <w:r w:rsidRPr="006F2E22">
        <w:rPr>
          <w:rFonts w:ascii="Arial" w:eastAsia="Arial" w:hAnsi="Arial" w:cs="Arial"/>
          <w:b/>
          <w:sz w:val="22"/>
          <w:szCs w:val="22"/>
        </w:rPr>
        <w:t>Teste de leitura:</w:t>
      </w:r>
      <w:r w:rsidRPr="006F2E22">
        <w:rPr>
          <w:rFonts w:ascii="Arial" w:eastAsia="Arial" w:hAnsi="Arial" w:cs="Arial"/>
          <w:sz w:val="22"/>
          <w:szCs w:val="22"/>
        </w:rPr>
        <w:t xml:space="preserve"> Será disponibilizado no Q Acadêmico, no início do semestre, o texto alvo a ser lido e estudado. A professora sugere que esse seja lido por mais de uma vez e que o(a) aluno(a) produza um material próprio com seus apontamentos (personagens, cenário, desenvolver da história, pontos que chamaram sua atenção, reflexões, </w:t>
      </w:r>
      <w:proofErr w:type="spellStart"/>
      <w:r w:rsidRPr="006F2E22">
        <w:rPr>
          <w:rFonts w:ascii="Arial" w:eastAsia="Arial" w:hAnsi="Arial" w:cs="Arial"/>
          <w:sz w:val="22"/>
          <w:szCs w:val="22"/>
        </w:rPr>
        <w:t>etc</w:t>
      </w:r>
      <w:proofErr w:type="spellEnd"/>
      <w:r w:rsidRPr="006F2E22">
        <w:rPr>
          <w:rFonts w:ascii="Arial" w:eastAsia="Arial" w:hAnsi="Arial" w:cs="Arial"/>
          <w:sz w:val="22"/>
          <w:szCs w:val="22"/>
        </w:rPr>
        <w:t>). Esse material poderá ser consultado no dia da avaliação, bem como o texto de origem (na forma impressa). Observação importante: Todos os materiais de consulta são autora</w:t>
      </w:r>
      <w:r>
        <w:rPr>
          <w:rFonts w:ascii="Arial" w:eastAsia="Arial" w:hAnsi="Arial" w:cs="Arial"/>
          <w:sz w:val="22"/>
          <w:szCs w:val="22"/>
        </w:rPr>
        <w:t>is</w:t>
      </w:r>
      <w:r w:rsidRPr="006F2E22">
        <w:rPr>
          <w:rFonts w:ascii="Arial" w:eastAsia="Arial" w:hAnsi="Arial" w:cs="Arial"/>
          <w:sz w:val="22"/>
          <w:szCs w:val="22"/>
        </w:rPr>
        <w:t xml:space="preserve"> e de uso particular e devem ser entregues com a avaliação.</w:t>
      </w:r>
    </w:p>
    <w:p w:rsidR="006F2E22" w:rsidRPr="006F2E22" w:rsidRDefault="006F2E22" w:rsidP="006F2E22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 xml:space="preserve">b) </w:t>
      </w:r>
      <w:r w:rsidRPr="006F2E22">
        <w:rPr>
          <w:rFonts w:ascii="Arial" w:eastAsia="Arial" w:hAnsi="Arial" w:cs="Arial"/>
          <w:b/>
          <w:sz w:val="22"/>
          <w:szCs w:val="22"/>
        </w:rPr>
        <w:t>Avaliação de aspectos gramaticais e de vocabulário</w:t>
      </w:r>
      <w:r w:rsidRPr="006F2E22">
        <w:rPr>
          <w:rFonts w:ascii="Arial" w:eastAsia="Arial" w:hAnsi="Arial" w:cs="Arial"/>
          <w:sz w:val="22"/>
          <w:szCs w:val="22"/>
        </w:rPr>
        <w:t xml:space="preserve">: Avaliação individual sobre aspectos gramaticais do Passado Simples, bem como o vocabulário necessário para expressar ideias e acontecimentos ocorridos.  </w:t>
      </w:r>
    </w:p>
    <w:p w:rsidR="006F2E22" w:rsidRPr="006F2E22" w:rsidRDefault="006F2E22" w:rsidP="006F2E22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 xml:space="preserve">c) </w:t>
      </w:r>
      <w:proofErr w:type="spellStart"/>
      <w:r w:rsidRPr="006F2E22">
        <w:rPr>
          <w:rFonts w:ascii="Arial" w:eastAsia="Arial" w:hAnsi="Arial" w:cs="Arial"/>
          <w:b/>
          <w:sz w:val="22"/>
          <w:szCs w:val="22"/>
        </w:rPr>
        <w:t>Cooking</w:t>
      </w:r>
      <w:proofErr w:type="spellEnd"/>
      <w:r w:rsidRPr="006F2E2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F2E22">
        <w:rPr>
          <w:rFonts w:ascii="Arial" w:eastAsia="Arial" w:hAnsi="Arial" w:cs="Arial"/>
          <w:b/>
          <w:sz w:val="22"/>
          <w:szCs w:val="22"/>
        </w:rPr>
        <w:t>class</w:t>
      </w:r>
      <w:proofErr w:type="spellEnd"/>
      <w:r w:rsidRPr="006F2E22">
        <w:rPr>
          <w:rFonts w:ascii="Arial" w:eastAsia="Arial" w:hAnsi="Arial" w:cs="Arial"/>
          <w:b/>
          <w:sz w:val="22"/>
          <w:szCs w:val="22"/>
        </w:rPr>
        <w:t>:</w:t>
      </w:r>
      <w:r w:rsidRPr="006F2E22">
        <w:rPr>
          <w:rFonts w:ascii="Arial" w:eastAsia="Arial" w:hAnsi="Arial" w:cs="Arial"/>
          <w:sz w:val="22"/>
          <w:szCs w:val="22"/>
        </w:rPr>
        <w:t xml:space="preserve"> A avaliação desta atividade considera dois tópicos: A) a responsabilidade de trazer todos os ingredientes necessários, a organização ao longo da atividade, a compreensão do texto da receita e a obediência às instruções de preparo, bem como a responsabilidade de limpar e organizar o espaço que utilizaremos. B) enquanto os biscoitos cozinham, o grupo deverá realizar uma atividade escrita.</w:t>
      </w:r>
    </w:p>
    <w:p w:rsidR="006F2E22" w:rsidRPr="006F2E22" w:rsidRDefault="006F2E22" w:rsidP="006F2E22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 xml:space="preserve">d) </w:t>
      </w:r>
      <w:r w:rsidRPr="006F2E22">
        <w:rPr>
          <w:rFonts w:ascii="Arial" w:eastAsia="Arial" w:hAnsi="Arial" w:cs="Arial"/>
          <w:b/>
          <w:sz w:val="22"/>
          <w:szCs w:val="22"/>
        </w:rPr>
        <w:t>Avaliação dos aspectos qualitativos- autoavaliação</w:t>
      </w:r>
      <w:r w:rsidRPr="006F2E22">
        <w:rPr>
          <w:rFonts w:ascii="Arial" w:eastAsia="Arial" w:hAnsi="Arial" w:cs="Arial"/>
          <w:sz w:val="22"/>
          <w:szCs w:val="22"/>
        </w:rPr>
        <w:t>: os estudantes serão provocados a avaliar sua participação em aula, realização das tarefas propostas como tema de casa, organização do caderno e aprendizado ao longo do semestre. Considerando esses aspectos, atribuirão uma nota para si no final do semestre.</w:t>
      </w:r>
    </w:p>
    <w:p w:rsidR="006F2E22" w:rsidRPr="006F2E22" w:rsidRDefault="006F2E22" w:rsidP="006F2E22">
      <w:pPr>
        <w:ind w:firstLine="284"/>
        <w:rPr>
          <w:rFonts w:ascii="Arial" w:eastAsia="Arial" w:hAnsi="Arial" w:cs="Arial"/>
          <w:sz w:val="22"/>
          <w:szCs w:val="22"/>
        </w:rPr>
      </w:pPr>
    </w:p>
    <w:p w:rsidR="006F2E22" w:rsidRPr="006F2E22" w:rsidRDefault="006F2E22" w:rsidP="006F2E22">
      <w:pPr>
        <w:ind w:firstLine="284"/>
        <w:rPr>
          <w:rFonts w:ascii="Arial" w:eastAsia="Arial" w:hAnsi="Arial" w:cs="Arial"/>
          <w:sz w:val="22"/>
          <w:szCs w:val="22"/>
        </w:rPr>
      </w:pPr>
      <w:r w:rsidRPr="006F2E22">
        <w:rPr>
          <w:rFonts w:ascii="Arial" w:eastAsia="Arial" w:hAnsi="Arial" w:cs="Arial"/>
          <w:sz w:val="22"/>
          <w:szCs w:val="22"/>
        </w:rPr>
        <w:t>Recuperação da aprendizagem: Será possível realizar avaliações que substituem os itens “a”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F2E22">
        <w:rPr>
          <w:rFonts w:ascii="Arial" w:eastAsia="Arial" w:hAnsi="Arial" w:cs="Arial"/>
          <w:sz w:val="22"/>
          <w:szCs w:val="22"/>
        </w:rPr>
        <w:t xml:space="preserve">e “b”, em data prevista no calendário, com conteúdo e peso correspondente a avaliação substituída. </w:t>
      </w:r>
      <w:r>
        <w:rPr>
          <w:rFonts w:ascii="Arial" w:eastAsia="Arial" w:hAnsi="Arial" w:cs="Arial"/>
          <w:sz w:val="22"/>
          <w:szCs w:val="22"/>
        </w:rPr>
        <w:t>Não há r</w:t>
      </w:r>
      <w:r w:rsidRPr="006F2E22">
        <w:rPr>
          <w:rFonts w:ascii="Arial" w:eastAsia="Arial" w:hAnsi="Arial" w:cs="Arial"/>
          <w:sz w:val="22"/>
          <w:szCs w:val="22"/>
        </w:rPr>
        <w:t>ecuper</w:t>
      </w:r>
      <w:r>
        <w:rPr>
          <w:rFonts w:ascii="Arial" w:eastAsia="Arial" w:hAnsi="Arial" w:cs="Arial"/>
          <w:sz w:val="22"/>
          <w:szCs w:val="22"/>
        </w:rPr>
        <w:t>ação dos itens “c” e “d”, já que</w:t>
      </w:r>
      <w:r w:rsidRPr="006F2E22">
        <w:rPr>
          <w:rFonts w:ascii="Arial" w:eastAsia="Arial" w:hAnsi="Arial" w:cs="Arial"/>
          <w:sz w:val="22"/>
          <w:szCs w:val="22"/>
        </w:rPr>
        <w:t xml:space="preserve"> trata</w:t>
      </w:r>
      <w:r>
        <w:rPr>
          <w:rFonts w:ascii="Arial" w:eastAsia="Arial" w:hAnsi="Arial" w:cs="Arial"/>
          <w:sz w:val="22"/>
          <w:szCs w:val="22"/>
        </w:rPr>
        <w:t>-se da avaliação</w:t>
      </w:r>
      <w:r w:rsidRPr="006F2E22">
        <w:rPr>
          <w:rFonts w:ascii="Arial" w:eastAsia="Arial" w:hAnsi="Arial" w:cs="Arial"/>
          <w:sz w:val="22"/>
          <w:szCs w:val="22"/>
        </w:rPr>
        <w:t xml:space="preserve"> process</w:t>
      </w:r>
      <w:r>
        <w:rPr>
          <w:rFonts w:ascii="Arial" w:eastAsia="Arial" w:hAnsi="Arial" w:cs="Arial"/>
          <w:sz w:val="22"/>
          <w:szCs w:val="22"/>
        </w:rPr>
        <w:t>ual</w:t>
      </w:r>
      <w:r w:rsidRPr="006F2E22">
        <w:rPr>
          <w:rFonts w:ascii="Arial" w:eastAsia="Arial" w:hAnsi="Arial" w:cs="Arial"/>
          <w:sz w:val="22"/>
          <w:szCs w:val="22"/>
        </w:rPr>
        <w:t>.</w:t>
      </w:r>
    </w:p>
    <w:p w:rsidR="00AC5720" w:rsidRPr="006F2E22" w:rsidRDefault="00AC5720" w:rsidP="00595F64">
      <w:pPr>
        <w:pStyle w:val="Corpodetexto2"/>
        <w:widowControl/>
        <w:spacing w:line="16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lastRenderedPageBreak/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8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  <w:lang w:val="en-US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595F64" w:rsidRPr="00026D13" w:rsidRDefault="00595F64" w:rsidP="00595F64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LEECH, G.; SVARTRIK, J. </w:t>
      </w:r>
      <w:r w:rsidRPr="00026D13">
        <w:rPr>
          <w:b/>
          <w:bCs/>
          <w:sz w:val="22"/>
          <w:szCs w:val="22"/>
          <w:lang w:val="en-US"/>
        </w:rPr>
        <w:t>A Communicative Grammar of English</w:t>
      </w:r>
      <w:r w:rsidRPr="00026D13">
        <w:rPr>
          <w:sz w:val="22"/>
          <w:szCs w:val="22"/>
          <w:lang w:val="en-US"/>
        </w:rPr>
        <w:t xml:space="preserve">. </w:t>
      </w:r>
      <w:proofErr w:type="gramStart"/>
      <w:r w:rsidRPr="00026D13">
        <w:rPr>
          <w:sz w:val="22"/>
          <w:szCs w:val="22"/>
          <w:lang w:val="en-US"/>
        </w:rPr>
        <w:t>3rd</w:t>
      </w:r>
      <w:proofErr w:type="gramEnd"/>
      <w:r w:rsidRPr="00026D13">
        <w:rPr>
          <w:sz w:val="22"/>
          <w:szCs w:val="22"/>
          <w:lang w:val="en-US"/>
        </w:rPr>
        <w:t xml:space="preserve"> edition. Pearson: ELT, 2002. </w:t>
      </w:r>
    </w:p>
    <w:p w:rsidR="00595F64" w:rsidRPr="00026D13" w:rsidRDefault="00595F64" w:rsidP="00595F64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MURPHY, R. </w:t>
      </w:r>
      <w:r w:rsidRPr="00026D13">
        <w:rPr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026D13">
        <w:rPr>
          <w:b/>
          <w:bCs/>
          <w:sz w:val="22"/>
          <w:szCs w:val="22"/>
          <w:lang w:val="en-US"/>
        </w:rPr>
        <w:t>CD-rom</w:t>
      </w:r>
      <w:proofErr w:type="spellEnd"/>
      <w:r w:rsidRPr="00026D13">
        <w:rPr>
          <w:sz w:val="22"/>
          <w:szCs w:val="22"/>
          <w:lang w:val="en-US"/>
        </w:rPr>
        <w:t xml:space="preserve">. </w:t>
      </w:r>
      <w:proofErr w:type="gramStart"/>
      <w:r w:rsidRPr="00026D13">
        <w:rPr>
          <w:sz w:val="22"/>
          <w:szCs w:val="22"/>
          <w:lang w:val="en-US"/>
        </w:rPr>
        <w:t>3rd</w:t>
      </w:r>
      <w:proofErr w:type="gramEnd"/>
      <w:r w:rsidRPr="00026D13">
        <w:rPr>
          <w:sz w:val="22"/>
          <w:szCs w:val="22"/>
          <w:lang w:val="en-US"/>
        </w:rPr>
        <w:t xml:space="preserve"> edition. Cambridge: Cambridge University Press, 2012. </w:t>
      </w:r>
    </w:p>
    <w:p w:rsidR="00AC5720" w:rsidRPr="00803BE9" w:rsidRDefault="00595F64" w:rsidP="00595F64">
      <w:pPr>
        <w:pStyle w:val="Default"/>
        <w:rPr>
          <w:sz w:val="22"/>
          <w:szCs w:val="22"/>
        </w:rPr>
      </w:pPr>
      <w:r w:rsidRPr="00803BE9">
        <w:rPr>
          <w:sz w:val="22"/>
          <w:szCs w:val="22"/>
        </w:rPr>
        <w:t xml:space="preserve">TEODOROV, V. </w:t>
      </w:r>
      <w:proofErr w:type="spellStart"/>
      <w:r w:rsidRPr="00803BE9">
        <w:rPr>
          <w:b/>
          <w:bCs/>
          <w:sz w:val="22"/>
          <w:szCs w:val="22"/>
        </w:rPr>
        <w:t>Freeway</w:t>
      </w:r>
      <w:proofErr w:type="spellEnd"/>
      <w:r w:rsidRPr="00803BE9">
        <w:rPr>
          <w:b/>
          <w:bCs/>
          <w:sz w:val="22"/>
          <w:szCs w:val="22"/>
        </w:rPr>
        <w:t xml:space="preserve">. </w:t>
      </w:r>
      <w:r w:rsidRPr="00803BE9">
        <w:rPr>
          <w:sz w:val="22"/>
          <w:szCs w:val="22"/>
        </w:rPr>
        <w:t>Vol. 1. São Paulo: Richmond, 2010.</w:t>
      </w:r>
    </w:p>
    <w:p w:rsidR="00595F64" w:rsidRPr="00803BE9" w:rsidRDefault="00595F64" w:rsidP="00595F64">
      <w:pPr>
        <w:pStyle w:val="Default"/>
        <w:rPr>
          <w:b/>
          <w:bCs/>
          <w:sz w:val="22"/>
          <w:szCs w:val="22"/>
        </w:rPr>
      </w:pPr>
    </w:p>
    <w:p w:rsidR="00AC5720" w:rsidRPr="005F545D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gramStart"/>
      <w:r w:rsidRPr="005F545D">
        <w:rPr>
          <w:rFonts w:ascii="Arial" w:hAnsi="Arial" w:cs="Arial"/>
          <w:b/>
          <w:bCs/>
          <w:sz w:val="22"/>
          <w:szCs w:val="22"/>
          <w:lang w:val="en-US"/>
        </w:rPr>
        <w:t>8.BIBLIOGRAFIA</w:t>
      </w:r>
      <w:proofErr w:type="gramEnd"/>
      <w:r w:rsidRPr="005F545D">
        <w:rPr>
          <w:rFonts w:ascii="Arial" w:hAnsi="Arial" w:cs="Arial"/>
          <w:b/>
          <w:bCs/>
          <w:sz w:val="22"/>
          <w:szCs w:val="22"/>
          <w:lang w:val="en-US"/>
        </w:rPr>
        <w:t xml:space="preserve"> COMPLEMENTAR: </w:t>
      </w:r>
    </w:p>
    <w:p w:rsidR="00595F64" w:rsidRPr="00026D13" w:rsidRDefault="00595F64" w:rsidP="00026D13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BEATTY, K. </w:t>
      </w:r>
      <w:r w:rsidRPr="00026D13">
        <w:rPr>
          <w:b/>
          <w:bCs/>
          <w:sz w:val="22"/>
          <w:szCs w:val="22"/>
          <w:lang w:val="en-US"/>
        </w:rPr>
        <w:t xml:space="preserve">Read and Think! </w:t>
      </w:r>
      <w:r w:rsidRPr="00026D13">
        <w:rPr>
          <w:sz w:val="22"/>
          <w:szCs w:val="22"/>
          <w:lang w:val="en-US"/>
        </w:rPr>
        <w:t xml:space="preserve">1 A reading strategies course. Person: ELT, 2004. </w:t>
      </w:r>
    </w:p>
    <w:p w:rsidR="00026D13" w:rsidRPr="005F545D" w:rsidRDefault="00595F64" w:rsidP="00026D13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BROWN, S. </w:t>
      </w:r>
      <w:r w:rsidRPr="00026D13">
        <w:rPr>
          <w:b/>
          <w:bCs/>
          <w:sz w:val="22"/>
          <w:szCs w:val="22"/>
          <w:lang w:val="en-US"/>
        </w:rPr>
        <w:t xml:space="preserve">Active Listening 1 </w:t>
      </w:r>
      <w:r w:rsidRPr="00026D13">
        <w:rPr>
          <w:sz w:val="22"/>
          <w:szCs w:val="22"/>
          <w:lang w:val="en-US"/>
        </w:rPr>
        <w:t xml:space="preserve">– student book with self-study audio CD. </w:t>
      </w:r>
      <w:r w:rsidRPr="005F545D">
        <w:rPr>
          <w:sz w:val="22"/>
          <w:szCs w:val="22"/>
          <w:lang w:val="en-US"/>
        </w:rPr>
        <w:t xml:space="preserve">São Paulo: Cambridge do </w:t>
      </w:r>
      <w:proofErr w:type="spellStart"/>
      <w:r w:rsidRPr="005F545D">
        <w:rPr>
          <w:sz w:val="22"/>
          <w:szCs w:val="22"/>
          <w:lang w:val="en-US"/>
        </w:rPr>
        <w:t>Brasil</w:t>
      </w:r>
      <w:proofErr w:type="spellEnd"/>
      <w:r w:rsidRPr="005F545D">
        <w:rPr>
          <w:sz w:val="22"/>
          <w:szCs w:val="22"/>
          <w:lang w:val="en-US"/>
        </w:rPr>
        <w:t xml:space="preserve">, 2006. </w:t>
      </w:r>
    </w:p>
    <w:p w:rsidR="00595F64" w:rsidRPr="005F545D" w:rsidRDefault="00595F64" w:rsidP="00026D13">
      <w:pPr>
        <w:pStyle w:val="Default"/>
        <w:rPr>
          <w:b/>
          <w:bCs/>
          <w:sz w:val="22"/>
          <w:szCs w:val="22"/>
        </w:rPr>
      </w:pPr>
      <w:r w:rsidRPr="00026D13">
        <w:rPr>
          <w:sz w:val="22"/>
          <w:szCs w:val="22"/>
          <w:lang w:val="en-US"/>
        </w:rPr>
        <w:t xml:space="preserve">FELICITY, O.; MACCARTHY, M. </w:t>
      </w:r>
      <w:r w:rsidRPr="00026D13">
        <w:rPr>
          <w:b/>
          <w:bCs/>
          <w:sz w:val="22"/>
          <w:szCs w:val="22"/>
          <w:lang w:val="en-US"/>
        </w:rPr>
        <w:t xml:space="preserve">English Vocabulary in Use </w:t>
      </w:r>
      <w:r w:rsidRPr="00026D13">
        <w:rPr>
          <w:sz w:val="22"/>
          <w:szCs w:val="22"/>
          <w:lang w:val="en-US"/>
        </w:rPr>
        <w:t xml:space="preserve">Elementary with answers. </w:t>
      </w:r>
      <w:r w:rsidRPr="005F545D">
        <w:rPr>
          <w:sz w:val="22"/>
          <w:szCs w:val="22"/>
        </w:rPr>
        <w:t>São Paulo: Cambridge do Brasil, 2010.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médio em Informática, Eventos, Plásticos e Mecânica 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</w:t>
      </w:r>
      <w:r w:rsidRPr="00026D13">
        <w:rPr>
          <w:rFonts w:ascii="Arial" w:eastAsia="Arial" w:hAnsi="Arial" w:cs="Arial"/>
          <w:sz w:val="22"/>
          <w:szCs w:val="22"/>
        </w:rPr>
        <w:t>Professor(a):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="006F2E22">
        <w:rPr>
          <w:rFonts w:ascii="Arial" w:eastAsia="Arial" w:hAnsi="Arial" w:cs="Arial"/>
          <w:b/>
          <w:sz w:val="22"/>
          <w:szCs w:val="22"/>
        </w:rPr>
        <w:t>2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 :</w:t>
      </w:r>
      <w:r w:rsidRPr="00026D13">
        <w:rPr>
          <w:rFonts w:ascii="Arial" w:eastAsia="Arial" w:hAnsi="Arial" w:cs="Arial"/>
          <w:b/>
          <w:sz w:val="22"/>
          <w:szCs w:val="22"/>
        </w:rPr>
        <w:t>Nível intermediário</w:t>
      </w:r>
    </w:p>
    <w:p w:rsidR="006F2E22" w:rsidRDefault="006F2E22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6F2E22" w:rsidRPr="009813E2" w:rsidRDefault="006F2E22" w:rsidP="00026D13">
      <w:pPr>
        <w:widowControl w:val="0"/>
        <w:rPr>
          <w:rFonts w:ascii="Arial" w:eastAsia="Arial" w:hAnsi="Arial" w:cs="Arial"/>
          <w:b/>
          <w:sz w:val="24"/>
          <w:szCs w:val="24"/>
          <w:u w:val="single"/>
        </w:rPr>
      </w:pPr>
      <w:r w:rsidRPr="009813E2">
        <w:rPr>
          <w:rFonts w:ascii="Arial" w:eastAsia="Arial" w:hAnsi="Arial" w:cs="Arial"/>
          <w:b/>
          <w:sz w:val="24"/>
          <w:szCs w:val="24"/>
          <w:u w:val="single"/>
        </w:rPr>
        <w:t xml:space="preserve">MANHÃ </w:t>
      </w:r>
      <w:r w:rsidR="009813E2" w:rsidRPr="009813E2">
        <w:rPr>
          <w:rFonts w:ascii="Arial" w:eastAsia="Arial" w:hAnsi="Arial" w:cs="Arial"/>
          <w:b/>
          <w:sz w:val="24"/>
          <w:szCs w:val="24"/>
          <w:u w:val="single"/>
        </w:rPr>
        <w:t>–</w:t>
      </w:r>
      <w:r w:rsidRPr="009813E2">
        <w:rPr>
          <w:rFonts w:ascii="Arial" w:eastAsia="Arial" w:hAnsi="Arial" w:cs="Arial"/>
          <w:b/>
          <w:sz w:val="24"/>
          <w:szCs w:val="24"/>
          <w:u w:val="single"/>
        </w:rPr>
        <w:t xml:space="preserve"> QUINTA</w:t>
      </w:r>
    </w:p>
    <w:p w:rsidR="009813E2" w:rsidRDefault="009813E2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9813E2" w:rsidRDefault="009813E2" w:rsidP="00026D13">
      <w:pPr>
        <w:widowControl w:val="0"/>
        <w:rPr>
          <w:rFonts w:ascii="Arial" w:eastAsia="Arial" w:hAnsi="Arial" w:cs="Arial"/>
          <w:b/>
        </w:rPr>
      </w:pPr>
    </w:p>
    <w:p w:rsidR="009813E2" w:rsidRDefault="009813E2" w:rsidP="00026D13">
      <w:pPr>
        <w:widowControl w:val="0"/>
        <w:rPr>
          <w:rFonts w:ascii="Arial" w:eastAsia="Arial" w:hAnsi="Arial" w:cs="Arial"/>
          <w:b/>
        </w:rPr>
      </w:pPr>
    </w:p>
    <w:p w:rsidR="009813E2" w:rsidRDefault="009813E2" w:rsidP="00026D13">
      <w:pPr>
        <w:widowControl w:val="0"/>
        <w:rPr>
          <w:rFonts w:ascii="Arial" w:eastAsia="Arial" w:hAnsi="Arial" w:cs="Arial"/>
          <w:b/>
        </w:rPr>
      </w:pPr>
    </w:p>
    <w:p w:rsidR="009813E2" w:rsidRDefault="009813E2" w:rsidP="00026D13">
      <w:pPr>
        <w:widowControl w:val="0"/>
        <w:rPr>
          <w:rFonts w:ascii="Arial" w:eastAsia="Arial" w:hAnsi="Arial" w:cs="Arial"/>
          <w:b/>
        </w:rPr>
      </w:pPr>
    </w:p>
    <w:tbl>
      <w:tblPr>
        <w:tblStyle w:val="Tabelacomgrade"/>
        <w:tblpPr w:leftFromText="141" w:rightFromText="141" w:vertAnchor="page" w:horzAnchor="margin" w:tblpY="3241"/>
        <w:tblW w:w="9854" w:type="dxa"/>
        <w:tblLook w:val="04A0" w:firstRow="1" w:lastRow="0" w:firstColumn="1" w:lastColumn="0" w:noHBand="0" w:noVBand="1"/>
      </w:tblPr>
      <w:tblGrid>
        <w:gridCol w:w="817"/>
        <w:gridCol w:w="1276"/>
        <w:gridCol w:w="7761"/>
      </w:tblGrid>
      <w:tr w:rsidR="009813E2" w:rsidRPr="006F2E22" w:rsidTr="00F722CF">
        <w:trPr>
          <w:gridAfter w:val="1"/>
          <w:wAfter w:w="7761" w:type="dxa"/>
        </w:trPr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Apresentação do plano de ensino + </w:t>
            </w:r>
            <w:r>
              <w:rPr>
                <w:rFonts w:ascii="Arial" w:hAnsi="Arial" w:cs="Arial"/>
                <w:sz w:val="24"/>
                <w:szCs w:val="24"/>
              </w:rPr>
              <w:t>revisão do 1º semestre</w:t>
            </w:r>
          </w:p>
        </w:tc>
      </w:tr>
      <w:tr w:rsidR="009813E2" w:rsidRPr="00716D4F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Cooking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– preparação e leitura da receita culinária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Cooking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F2E22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9813E2" w:rsidRPr="00A81C7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>Can – written and unwritten rules around the world</w:t>
            </w:r>
          </w:p>
        </w:tc>
      </w:tr>
      <w:tr w:rsidR="009813E2" w:rsidRPr="00A81C7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 xml:space="preserve">Can and could to talk about abilities –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leitura do início do conto do Sherlock.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F2E2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761" w:type="dxa"/>
          </w:tcPr>
          <w:p w:rsidR="009813E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Grammar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aspects</w:t>
            </w:r>
            <w:proofErr w:type="spellEnd"/>
          </w:p>
          <w:p w:rsidR="009813E2" w:rsidRPr="00716D4F" w:rsidRDefault="009813E2" w:rsidP="00F722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Vocabulário </w:t>
            </w: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Lugares na cidade/campo </w:t>
            </w:r>
          </w:p>
        </w:tc>
      </w:tr>
      <w:tr w:rsidR="009813E2" w:rsidRPr="006F2E22" w:rsidTr="00F722CF">
        <w:tc>
          <w:tcPr>
            <w:tcW w:w="817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6F2E2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761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Grammar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aspects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Vocabulário: regular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irregular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verbs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+ revisão para a prova de leitura </w:t>
            </w:r>
          </w:p>
        </w:tc>
      </w:tr>
      <w:tr w:rsidR="009813E2" w:rsidRPr="006F2E22" w:rsidTr="00F722CF">
        <w:tc>
          <w:tcPr>
            <w:tcW w:w="817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7761" w:type="dxa"/>
            <w:shd w:val="clear" w:color="auto" w:fill="FFFFFF" w:themeFill="background1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Prova de leitura do conto do Sherlock Holmes.</w:t>
            </w:r>
          </w:p>
        </w:tc>
      </w:tr>
      <w:tr w:rsidR="009813E2" w:rsidRPr="00A81C7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Entrega e correção da avaliação de leitura. </w:t>
            </w:r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 xml:space="preserve">+ </w:t>
            </w:r>
            <w:proofErr w:type="spellStart"/>
            <w:proofErr w:type="gramStart"/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>exercícios</w:t>
            </w:r>
            <w:proofErr w:type="spellEnd"/>
            <w:proofErr w:type="gramEnd"/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 xml:space="preserve"> de speaking/listening. What did they do?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9813E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simples – frases interrogativas e negativas </w:t>
            </w:r>
          </w:p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Vocabulário </w:t>
            </w: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Partes e móveis da casa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simples – frases interrogativas e negativas </w:t>
            </w:r>
          </w:p>
        </w:tc>
      </w:tr>
      <w:tr w:rsidR="009813E2" w:rsidRPr="00A81C7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9813E2" w:rsidRPr="00716D4F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Futuro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: will </w:t>
            </w: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 be going to</w:t>
            </w:r>
          </w:p>
        </w:tc>
      </w:tr>
      <w:tr w:rsidR="009813E2" w:rsidRPr="00A81C7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9813E2" w:rsidRPr="00716D4F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Futuro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: will </w:t>
            </w: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 be going to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</w:t>
            </w:r>
            <w:r w:rsidRPr="006F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Revisão dos aspectos gramaticais e vocabulário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Avaliação de gramática e vocabulário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Revisão para a recuperação + </w:t>
            </w: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autoavaliação </w:t>
            </w:r>
          </w:p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Entrega dos resultados da avaliação gramatical </w:t>
            </w:r>
          </w:p>
        </w:tc>
      </w:tr>
      <w:tr w:rsidR="009813E2" w:rsidRPr="006F2E22" w:rsidTr="00F722CF">
        <w:trPr>
          <w:trHeight w:val="494"/>
        </w:trPr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da prova de leitura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6F2E22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da prova gramatical </w:t>
            </w:r>
          </w:p>
        </w:tc>
      </w:tr>
      <w:tr w:rsidR="009813E2" w:rsidRPr="006F2E22" w:rsidTr="00F722CF">
        <w:tc>
          <w:tcPr>
            <w:tcW w:w="817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13E2" w:rsidRPr="006F2E22" w:rsidRDefault="009813E2" w:rsidP="00F722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F2E22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7761" w:type="dxa"/>
          </w:tcPr>
          <w:p w:rsidR="009813E2" w:rsidRPr="006F2E22" w:rsidRDefault="009813E2" w:rsidP="00F722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Entrega dos resultados </w:t>
            </w:r>
          </w:p>
        </w:tc>
      </w:tr>
    </w:tbl>
    <w:p w:rsidR="009813E2" w:rsidRPr="005D224C" w:rsidRDefault="009813E2" w:rsidP="00026D13">
      <w:pPr>
        <w:widowControl w:val="0"/>
        <w:rPr>
          <w:rFonts w:ascii="Arial" w:eastAsia="Arial" w:hAnsi="Arial" w:cs="Arial"/>
          <w:b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026D13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TAR</w:t>
      </w: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F722CF">
      <w:pPr>
        <w:rPr>
          <w:rFonts w:ascii="Arial" w:hAnsi="Arial" w:cs="Arial"/>
          <w:b/>
          <w:sz w:val="24"/>
          <w:szCs w:val="24"/>
          <w:u w:val="single"/>
        </w:rPr>
      </w:pPr>
      <w:r w:rsidRPr="009813E2">
        <w:rPr>
          <w:rFonts w:ascii="Arial" w:hAnsi="Arial" w:cs="Arial"/>
          <w:b/>
          <w:sz w:val="24"/>
          <w:szCs w:val="24"/>
          <w:u w:val="single"/>
        </w:rPr>
        <w:t xml:space="preserve">TARDE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9813E2">
        <w:rPr>
          <w:rFonts w:ascii="Arial" w:hAnsi="Arial" w:cs="Arial"/>
          <w:b/>
          <w:sz w:val="24"/>
          <w:szCs w:val="24"/>
          <w:u w:val="single"/>
        </w:rPr>
        <w:t xml:space="preserve"> QUARTA</w:t>
      </w: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p w:rsidR="00F722CF" w:rsidRDefault="00F722CF" w:rsidP="00026D1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854" w:type="dxa"/>
        <w:tblLook w:val="04A0" w:firstRow="1" w:lastRow="0" w:firstColumn="1" w:lastColumn="0" w:noHBand="0" w:noVBand="1"/>
      </w:tblPr>
      <w:tblGrid>
        <w:gridCol w:w="817"/>
        <w:gridCol w:w="1276"/>
        <w:gridCol w:w="7761"/>
      </w:tblGrid>
      <w:tr w:rsidR="00F722CF" w:rsidRPr="006F2E22" w:rsidTr="00FD14E4">
        <w:trPr>
          <w:gridAfter w:val="1"/>
          <w:wAfter w:w="7761" w:type="dxa"/>
        </w:trPr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Apresentação do plano de ensino + </w:t>
            </w:r>
            <w:r>
              <w:rPr>
                <w:rFonts w:ascii="Arial" w:hAnsi="Arial" w:cs="Arial"/>
                <w:sz w:val="24"/>
                <w:szCs w:val="24"/>
              </w:rPr>
              <w:t>revisão do 1º semestre</w:t>
            </w:r>
          </w:p>
        </w:tc>
      </w:tr>
      <w:tr w:rsidR="00F722CF" w:rsidRPr="00716D4F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Cooking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– preparação e leitura da receita culinária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Cooking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F2E22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F722CF" w:rsidRPr="00A81C7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>Can – written and unwritten rules around the world</w:t>
            </w:r>
          </w:p>
        </w:tc>
      </w:tr>
      <w:tr w:rsidR="00F722CF" w:rsidRPr="00A81C7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F2E22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2E22">
              <w:rPr>
                <w:rFonts w:ascii="Arial" w:hAnsi="Arial" w:cs="Arial"/>
                <w:sz w:val="24"/>
                <w:szCs w:val="24"/>
                <w:lang w:val="en-US"/>
              </w:rPr>
              <w:t xml:space="preserve">Can and could to talk about abilities – 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leitura do início do conto do Sherlock. 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F2E2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761" w:type="dxa"/>
          </w:tcPr>
          <w:p w:rsidR="00F722CF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Grammar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aspects</w:t>
            </w:r>
            <w:proofErr w:type="spellEnd"/>
          </w:p>
          <w:p w:rsidR="00F722CF" w:rsidRPr="00716D4F" w:rsidRDefault="00F722CF" w:rsidP="00FD14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Vocabulário </w:t>
            </w: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Lugares na cidade/campo </w:t>
            </w:r>
          </w:p>
        </w:tc>
      </w:tr>
      <w:tr w:rsidR="00F722CF" w:rsidRPr="006F2E22" w:rsidTr="00FD14E4">
        <w:tc>
          <w:tcPr>
            <w:tcW w:w="817" w:type="dxa"/>
            <w:shd w:val="clear" w:color="auto" w:fill="FFFFFF" w:themeFill="background1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6F2E2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761" w:type="dxa"/>
            <w:shd w:val="clear" w:color="auto" w:fill="FFFFFF" w:themeFill="background1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simples – Grammar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aspects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Vocabulário: regular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irregular </w:t>
            </w:r>
            <w:proofErr w:type="spellStart"/>
            <w:r w:rsidRPr="006F2E22">
              <w:rPr>
                <w:rFonts w:ascii="Arial" w:hAnsi="Arial" w:cs="Arial"/>
                <w:sz w:val="24"/>
                <w:szCs w:val="24"/>
              </w:rPr>
              <w:t>verbs</w:t>
            </w:r>
            <w:proofErr w:type="spellEnd"/>
            <w:r w:rsidRPr="006F2E22">
              <w:rPr>
                <w:rFonts w:ascii="Arial" w:hAnsi="Arial" w:cs="Arial"/>
                <w:sz w:val="24"/>
                <w:szCs w:val="24"/>
              </w:rPr>
              <w:t xml:space="preserve"> + revisão para a prova de leitura </w:t>
            </w:r>
          </w:p>
        </w:tc>
      </w:tr>
      <w:tr w:rsidR="00F722CF" w:rsidRPr="006F2E22" w:rsidTr="00FD14E4">
        <w:tc>
          <w:tcPr>
            <w:tcW w:w="817" w:type="dxa"/>
            <w:shd w:val="clear" w:color="auto" w:fill="FFFFFF" w:themeFill="background1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F2E22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7761" w:type="dxa"/>
            <w:shd w:val="clear" w:color="auto" w:fill="FFFFFF" w:themeFill="background1"/>
          </w:tcPr>
          <w:p w:rsidR="00F722CF" w:rsidRPr="009813E2" w:rsidRDefault="00F722CF" w:rsidP="00FD14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13E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Conselho de classe </w:t>
            </w:r>
          </w:p>
        </w:tc>
      </w:tr>
      <w:tr w:rsidR="00F722CF" w:rsidRPr="009813E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7761" w:type="dxa"/>
          </w:tcPr>
          <w:p w:rsidR="00A81C7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Prova de leitura do conto do Sherlock Holmes.</w:t>
            </w:r>
          </w:p>
          <w:p w:rsidR="00F722CF" w:rsidRPr="006F2E22" w:rsidRDefault="00A81C72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Sabertec</w:t>
            </w:r>
            <w:proofErr w:type="spellEnd"/>
            <w:r w:rsidR="00F722CF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F722CF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simples – frases interrogativas e negativas </w:t>
            </w:r>
          </w:p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Vocabulário </w:t>
            </w: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Partes e móveis da casa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simples – frases interrogativas e negativas </w:t>
            </w:r>
          </w:p>
        </w:tc>
      </w:tr>
      <w:tr w:rsidR="00F722CF" w:rsidRPr="00A81C7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F722CF" w:rsidRPr="00716D4F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Futuro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: will </w:t>
            </w: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 be going to</w:t>
            </w:r>
          </w:p>
        </w:tc>
      </w:tr>
      <w:tr w:rsidR="00F722CF" w:rsidRPr="00A81C7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6F2E22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7761" w:type="dxa"/>
          </w:tcPr>
          <w:p w:rsidR="00F722CF" w:rsidRPr="00716D4F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Futuro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: will </w:t>
            </w:r>
            <w:proofErr w:type="spellStart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716D4F">
              <w:rPr>
                <w:rFonts w:ascii="Arial" w:hAnsi="Arial" w:cs="Arial"/>
                <w:sz w:val="24"/>
                <w:szCs w:val="24"/>
                <w:lang w:val="en-US"/>
              </w:rPr>
              <w:t xml:space="preserve"> be going to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</w:t>
            </w:r>
            <w:r w:rsidRPr="006F2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Revisão dos aspectos gramaticais e vocabulário 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Avaliação de gramática e vocabulário </w:t>
            </w:r>
            <w:bookmarkStart w:id="0" w:name="_GoBack"/>
            <w:bookmarkEnd w:id="0"/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Revisão para a recuperação + </w:t>
            </w: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autoavaliação </w:t>
            </w:r>
          </w:p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Entrega dos resultados da avaliação gramatical </w:t>
            </w:r>
          </w:p>
        </w:tc>
      </w:tr>
      <w:tr w:rsidR="00F722CF" w:rsidRPr="006F2E22" w:rsidTr="00FD14E4">
        <w:trPr>
          <w:trHeight w:val="494"/>
        </w:trPr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6F2E22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da prova de leitura 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6F2E22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2E22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da prova gramatical </w:t>
            </w:r>
          </w:p>
        </w:tc>
      </w:tr>
      <w:tr w:rsidR="00F722CF" w:rsidRPr="006F2E22" w:rsidTr="00FD14E4">
        <w:tc>
          <w:tcPr>
            <w:tcW w:w="817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722CF" w:rsidRPr="006F2E22" w:rsidRDefault="00F722CF" w:rsidP="00FD14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F2E22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7761" w:type="dxa"/>
          </w:tcPr>
          <w:p w:rsidR="00F722CF" w:rsidRPr="006F2E22" w:rsidRDefault="00F722CF" w:rsidP="00FD14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E22">
              <w:rPr>
                <w:rFonts w:ascii="Arial" w:hAnsi="Arial" w:cs="Arial"/>
                <w:sz w:val="24"/>
                <w:szCs w:val="24"/>
              </w:rPr>
              <w:t xml:space="preserve">Entrega dos resultados </w:t>
            </w:r>
          </w:p>
        </w:tc>
      </w:tr>
    </w:tbl>
    <w:p w:rsidR="00E70B4D" w:rsidRDefault="00E70B4D" w:rsidP="00026D13">
      <w:pPr>
        <w:widowControl w:val="0"/>
        <w:spacing w:line="160" w:lineRule="atLeast"/>
        <w:jc w:val="center"/>
      </w:pPr>
    </w:p>
    <w:sectPr w:rsidR="00E70B4D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20181A"/>
    <w:rsid w:val="00547D18"/>
    <w:rsid w:val="00595F64"/>
    <w:rsid w:val="005F528C"/>
    <w:rsid w:val="005F545D"/>
    <w:rsid w:val="006F2E22"/>
    <w:rsid w:val="00716D4F"/>
    <w:rsid w:val="00803BE9"/>
    <w:rsid w:val="00855072"/>
    <w:rsid w:val="009813E2"/>
    <w:rsid w:val="00A71B93"/>
    <w:rsid w:val="00A81C72"/>
    <w:rsid w:val="00AC5720"/>
    <w:rsid w:val="00B149E7"/>
    <w:rsid w:val="00CC6C38"/>
    <w:rsid w:val="00E70B4D"/>
    <w:rsid w:val="00F722CF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0486-AB5F-4492-9121-D8C0CC0A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Suzana Trevisan</cp:lastModifiedBy>
  <cp:revision>6</cp:revision>
  <dcterms:created xsi:type="dcterms:W3CDTF">2019-07-30T12:57:00Z</dcterms:created>
  <dcterms:modified xsi:type="dcterms:W3CDTF">2019-07-30T21:02:00Z</dcterms:modified>
</cp:coreProperties>
</file>