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A776CF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A776CF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SjKwIAAFEEAAAOAAAAZHJzL2Uyb0RvYy54bWysVNtu2zAMfR+wfxD0vjh24zUx4hRdugwD&#10;ugvQ7gNkWbaFyaImKbGzry8lp1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AT1pKM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2E2A50" w:rsidRPr="00815FBF" w:rsidRDefault="00A776CF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</w:t>
      </w:r>
      <w:r w:rsidRPr="00DE6F8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: </w:t>
      </w:r>
      <w:r w:rsidR="00DE6F89" w:rsidRPr="00DE6F89">
        <w:rPr>
          <w:rFonts w:ascii="Arial" w:hAnsi="Arial" w:cs="Arial"/>
          <w:sz w:val="24"/>
          <w:szCs w:val="24"/>
        </w:rPr>
        <w:t xml:space="preserve">Técnico em </w:t>
      </w:r>
      <w:r w:rsidR="00553525">
        <w:rPr>
          <w:rFonts w:ascii="Arial" w:hAnsi="Arial" w:cs="Arial"/>
          <w:sz w:val="24"/>
          <w:szCs w:val="24"/>
        </w:rPr>
        <w:t>Informática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DE6F89" w:rsidRPr="00DE6F89">
        <w:rPr>
          <w:rFonts w:hAnsi="Arial" w:cs="Arial"/>
        </w:rPr>
        <w:t xml:space="preserve"> </w:t>
      </w:r>
      <w:r w:rsidR="00DE6F89" w:rsidRPr="00DE6F89">
        <w:rPr>
          <w:rFonts w:ascii="Arial" w:hAnsi="Arial" w:cs="Arial"/>
        </w:rPr>
        <w:t>Geografia</w:t>
      </w:r>
      <w:r w:rsidRPr="00DE6F89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>2</w:t>
      </w:r>
      <w:r w:rsidR="00553525">
        <w:rPr>
          <w:rFonts w:ascii="Arial" w:hAnsi="Arial" w:cs="Arial"/>
          <w:snapToGrid w:val="0"/>
          <w:lang w:val="pt-BR" w:eastAsia="pt-BR"/>
        </w:rPr>
        <w:t>I</w:t>
      </w:r>
      <w:r w:rsidR="007D2F14">
        <w:rPr>
          <w:rFonts w:ascii="Arial" w:hAnsi="Arial" w:cs="Arial"/>
          <w:snapToGrid w:val="0"/>
          <w:lang w:val="pt-BR" w:eastAsia="pt-BR"/>
        </w:rPr>
        <w:t>/2</w:t>
      </w:r>
      <w:r w:rsidR="00553525">
        <w:rPr>
          <w:rFonts w:ascii="Arial" w:hAnsi="Arial" w:cs="Arial"/>
          <w:snapToGrid w:val="0"/>
          <w:lang w:val="pt-BR" w:eastAsia="pt-BR"/>
        </w:rPr>
        <w:t>K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>Fernando Mousquer</w:t>
      </w: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60 h</w:t>
      </w:r>
      <w:r w:rsidR="00DE6F89">
        <w:rPr>
          <w:rFonts w:ascii="Arial" w:hAnsi="Arial" w:cs="Arial"/>
          <w:snapToGrid w:val="0"/>
          <w:sz w:val="24"/>
          <w:szCs w:val="24"/>
          <w:lang w:eastAsia="pt-BR"/>
        </w:rPr>
        <w:t>oras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7D2F14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:rsidR="00241F58" w:rsidRPr="005E3EC5" w:rsidRDefault="00241F58" w:rsidP="00241F5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>:</w:t>
      </w:r>
      <w:r w:rsidRPr="00241F58">
        <w:rPr>
          <w:rFonts w:ascii="Arial" w:hAnsi="Arial" w:cs="Arial"/>
          <w:b/>
          <w:snapToGrid w:val="0"/>
          <w:lang w:val="en-US" w:eastAsia="pt-BR"/>
        </w:rPr>
        <w:t xml:space="preserve"> </w:t>
      </w:r>
      <w:r w:rsidRPr="00241F58">
        <w:rPr>
          <w:rFonts w:ascii="Arial" w:hAnsi="Arial" w:cs="Arial"/>
          <w:snapToGrid w:val="0"/>
          <w:lang w:val="en-US" w:eastAsia="pt-BR"/>
        </w:rPr>
        <w:t>fernandomousquer@sapucaia.ifsul.edu.br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:rsidR="00241F58" w:rsidRPr="00241F58" w:rsidRDefault="00241F58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x-none" w:eastAsia="pt-BR"/>
        </w:rPr>
      </w:pPr>
    </w:p>
    <w:p w:rsidR="002E2A50" w:rsidRPr="00241F58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C518C7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518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18C7" w:rsidRPr="00C518C7" w:rsidRDefault="00C518C7" w:rsidP="00C518C7">
            <w:pPr>
              <w:pStyle w:val="Corpodetexto"/>
              <w:rPr>
                <w:rFonts w:ascii="Arial" w:eastAsia="Arial Bold" w:hAnsi="Arial" w:cs="Arial"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>Organização do espaço do Rio Grande do Sul e do Brasil.</w:t>
            </w:r>
          </w:p>
          <w:p w:rsidR="002E2A50" w:rsidRPr="00815FBF" w:rsidRDefault="00C518C7" w:rsidP="00C518C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 xml:space="preserve">Identificar e analisar os processos de formação territorial do Rio Grande do Sul e do Brasil. Aplicar os conhecimentos do conjunto das disciplinas de ciências humanas, da natureza e exatas na construção de novos conhecimentos nas diferentes escalas abordadas. Comparar os distintos processos regionais de formação territorial do Brasil. Analisar e debater alternativas de desenvolvimento para as diferenças regionais. Distinguir, discriminar e investigar sobre a organização territorial e suas dinâmicas no território brasileiro nas escalas nacional, regional e local.  Aplicar técnicas de representação espacial (linguagem cartográfica) para evidenciar a realidade </w:t>
            </w:r>
            <w:proofErr w:type="spellStart"/>
            <w:r w:rsidRPr="00C518C7">
              <w:rPr>
                <w:rFonts w:ascii="Arial" w:hAnsi="Arial" w:cs="Arial"/>
                <w:sz w:val="24"/>
                <w:szCs w:val="24"/>
              </w:rPr>
              <w:t>sócio-espacial</w:t>
            </w:r>
            <w:proofErr w:type="spellEnd"/>
            <w:r w:rsidRPr="00C518C7">
              <w:rPr>
                <w:rFonts w:ascii="Arial" w:hAnsi="Arial" w:cs="Arial"/>
                <w:sz w:val="24"/>
                <w:szCs w:val="24"/>
              </w:rPr>
              <w:t>. Discutir analiticamente sobre o meio ambiente no contexto contemporâneo.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6469" w:rsidRPr="00546469" w:rsidRDefault="002E2A50" w:rsidP="0008685D">
            <w:pPr>
              <w:pStyle w:val="Cabealh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spacing w:before="240" w:after="240"/>
              <w:jc w:val="both"/>
              <w:rPr>
                <w:rFonts w:eastAsia="Arial Bold" w:hAnsi="Arial" w:cs="Arial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546469" w:rsidRPr="00567AD5">
              <w:rPr>
                <w:rFonts w:hAnsi="Arial" w:cs="Arial"/>
              </w:rPr>
              <w:t xml:space="preserve"> 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Identificar as diferentes escalas geográficas de análise (local, regional, nacional e global) e suas correlações com o espaço geográfico (sistema de objetos e ações).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Analisar as diferentes formas de ocupação do espaço e os conflitos oriundos destas ações.</w:t>
            </w:r>
          </w:p>
          <w:p w:rsidR="00546469" w:rsidRPr="00546469" w:rsidRDefault="004B37D7" w:rsidP="004B37D7">
            <w:pPr>
              <w:pStyle w:val="Corpodetexto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-  </w:t>
            </w:r>
            <w:r w:rsidR="00546469" w:rsidRPr="00546469">
              <w:rPr>
                <w:rFonts w:ascii="Arial" w:hAnsi="Arial" w:cs="Arial"/>
                <w:sz w:val="24"/>
                <w:szCs w:val="24"/>
              </w:rPr>
              <w:t xml:space="preserve">Compreender a distribuição espacial das atividades do setor de Informática e sua relação com o mundo do trabalho. </w:t>
            </w:r>
          </w:p>
          <w:p w:rsidR="002E2A50" w:rsidRPr="00815FBF" w:rsidRDefault="0054646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DF2159">
            <w:pPr>
              <w:pStyle w:val="Cabealho"/>
              <w:tabs>
                <w:tab w:val="clear" w:pos="8504"/>
                <w:tab w:val="right" w:pos="8478"/>
              </w:tabs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DF2159">
              <w:t xml:space="preserve"> </w:t>
            </w:r>
          </w:p>
          <w:p w:rsid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 – Espaço é poder: do corpo aos continentes, possibilidades de escalas para conhecer e analisar o espaço: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1.1 A formação do Vale dos Sinos: tramas </w:t>
            </w:r>
            <w:proofErr w:type="spellStart"/>
            <w:r w:rsidRPr="00DF2159">
              <w:rPr>
                <w:rFonts w:ascii="Arial" w:hAnsi="Arial" w:cs="Arial"/>
                <w:sz w:val="24"/>
                <w:szCs w:val="24"/>
              </w:rPr>
              <w:t>socio-espaciais</w:t>
            </w:r>
            <w:proofErr w:type="spellEnd"/>
            <w:r w:rsidRPr="00DF2159">
              <w:rPr>
                <w:rFonts w:ascii="Arial" w:hAnsi="Arial" w:cs="Arial"/>
                <w:sz w:val="24"/>
                <w:szCs w:val="24"/>
              </w:rPr>
              <w:t xml:space="preserve"> explicativas.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1.2 A cultura, a informática, a produção do plástico como “meios” organizacionais do espaço: o contexto brasileiro e internacional.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1.3 Macro setores da economia.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 - América Latina: tipos de economias e suas complexidades nos macro setores econômicas: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2.1 Países de Economia complexa: Brasil, Argentina e México;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2.2 Países de Economia intermediária: Chile, Colômbia, Peru, Venezuela;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2.3 Países de Economia pouco complexa: Costa Rica, Nicarágua, Bolívia, Paraguai, Uruguai e outros.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III Blocos de poder: Estados-Nações e as outras territorialidades: econômicas, políticas e culturais: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  Mundo Multipolar: </w:t>
            </w:r>
            <w:r w:rsidRPr="00DF2159">
              <w:rPr>
                <w:rFonts w:ascii="Arial" w:hAnsi="Arial" w:cs="Arial"/>
                <w:sz w:val="24"/>
                <w:szCs w:val="24"/>
              </w:rPr>
              <w:tab/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3.1Contexto do continente americano: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3.1.1 O Mercosul;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3.1.2 O projeto ALCA e NAFTA;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3.1.3 As alternativas dos TLC´S;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3.2 Contexto da Europa, Ásia e África: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3.2.1 União Europeia, a chamada Zona do Euro,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3.2.2 ALAC, APEC, ASEAN,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 3 Contexto dos Casos Intercontinentais: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3.3.1 Comunidade das Nações;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3.3.2  Comunidade dos Países de Língua Portuguesa,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3.3.3 Grupo dos 8, Grupos dos 20, e diferentes outras iniciativas no mundo.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IV - Os conflitos étnico-culturais no mundo contemporâneo: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4.1 Nacionalismos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4.2 Xenofobias contemporâneas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4.3 Religião e conflitos étnico-culturais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V - A esfera da vida e a questão ambiental.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5.1 A esfera das águas e os recursos hídricos.</w:t>
            </w:r>
          </w:p>
          <w:p w:rsidR="00DF2159" w:rsidRPr="00DF2159" w:rsidRDefault="00DF2159" w:rsidP="00DF2159">
            <w:pPr>
              <w:pStyle w:val="Corpodetexto"/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2A50" w:rsidRPr="00DF2159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  <w:lang w:val="x-none"/>
              </w:rPr>
            </w:pPr>
          </w:p>
        </w:tc>
      </w:tr>
    </w:tbl>
    <w:p w:rsidR="0008685D" w:rsidRDefault="0008685D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A776CF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-338455</wp:posOffset>
                </wp:positionV>
                <wp:extent cx="5883910" cy="5358765"/>
                <wp:effectExtent l="8255" t="8890" r="1333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535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4. PROCEDIMENTOS DIDÁTICOS:</w:t>
                            </w:r>
                          </w:p>
                          <w:p w:rsidR="005638BA" w:rsidRDefault="005638BA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eastAsia="Arial Bold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metodologia está embasada em três pilares: experiência discente, técnicas de estudo e técnicas motivacionais.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Buzan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mnemônica, SQ3R. Estas técnicas são utilizadas como “ferramentas” em prol de um melhor aproveitamento dos estudos, pois buscam converter o uso corriqueiro da memória de curto prazo em eventos duradouros (memória de longo prazo). Cabe ressaltar, que as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ténicas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principal meta que é o estudo e suas diversas aplicações.</w:t>
                            </w:r>
                          </w:p>
                          <w:p w:rsid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0;margin-top:-26.65pt;width:463.3pt;height:421.9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">
                <v:textbox>
                  <w:txbxContent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590D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4. PROCEDIMENTOS DIDÁTICOS:</w:t>
                      </w:r>
                    </w:p>
                    <w:p w:rsidR="005638BA" w:rsidRDefault="005638BA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eastAsia="Arial Bold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metodologia está embasada em três pilares: experiência discente, técnicas de estudo e técnicas motivacionais.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Buzan), mnemônica, SQ3R. Estas técnicas são utilizadas como “ferramentas” em prol de um melhor aproveitamento dos estudos, pois buscam converter o uso corriqueiro da memória de curto prazo em eventos duradouros (memória de longo prazo). Cabe ressaltar, que as ténicas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principal meta que é o estudo e suas diversas aplicações.</w:t>
                      </w:r>
                    </w:p>
                    <w:p w:rsid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 ESTRATÉGIAS DE INTERDISCIPLINARIDADE:</w:t>
      </w:r>
    </w:p>
    <w:p w:rsidR="005256BA" w:rsidRDefault="005256BA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o filósofo Edgard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interdisciplinaridade é um termo polissêmico (o mesmo vale para a Multidisciplinaridade e a Transdisciplinaridade), já que pode ter vários sentidos, desde a afirmação de existência desta ou daquela disciplina até uma suposta colaboração entre elas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2003).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No caso dos cursos técnicos ofertados pelo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IFSul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podemos pensar na segunda opção, quer dizer, pode e deve haver uma colaboração entre as diversas disciplinas que integram os cursos. A noção de complexidade proposta por este mesmo autor pode auxiliar-nos nesta tarefa. A complexidade vista como aquilo que é tecido junto, aquilo que é uno e múltiplo ao mesmo tempo, ou seja, dentro desta noção cada disciplina mantém a sua identidade (uno), porém ao contribuir, ao somar os seus conhecimentos a dada realidade científica, forma-se um conjunto (múltiplo), rico de informações sobre a sociedade e a natureza.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atingir este objetivo pensamos no eixo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tranversal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associado ao “mundo do trabalho”. A escolha deste tema parte do princípio que na condição futura de egressos, os discentes terão a oportunidade de vivenciar as atividades referentes ao mercado de trabalho. Dessa forma, temas como a origem de determinados </w:t>
      </w:r>
      <w:r w:rsidRPr="005129C0">
        <w:rPr>
          <w:rFonts w:ascii="Arial" w:hAnsi="Arial" w:cs="Arial"/>
          <w:b w:val="0"/>
          <w:sz w:val="24"/>
          <w:szCs w:val="24"/>
          <w:lang w:val="pt-BR"/>
        </w:rPr>
        <w:lastRenderedPageBreak/>
        <w:t>mercados, bem como as suas localizações são fundamentais para a boa atuação de nossos discentes nestes espaços.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67101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="00590D92">
        <w:rPr>
          <w:rFonts w:ascii="Arial" w:hAnsi="Arial" w:cs="Arial"/>
          <w:sz w:val="24"/>
          <w:szCs w:val="24"/>
          <w:lang w:val="pt-BR"/>
        </w:rPr>
        <w:t>PROCEDIMENTOS E CRITÉRIOS DE AVALIAÇÃO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5256BA" w:rsidRDefault="005256BA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Default="006E689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A avaliação enquanto processo levará em consideração as diversas habilidades e competências a serem desenvolvidas pelos discentes ao longo da jornada. O uso da escrita, de imagens e da oralidade serão analisadas a partir de provas objetivas e dissertativas, produção de resenhas e de trabalhos estarão embasados numa lógica de criação em que o inacabamento pode ser visto como algo positivo, logo tem-se como pressuposto uma ação construtiva do aluno. A retomada dos conteúdos visando as aprendizagens não alcançadas ocorrerá através de atividades complementares (leituras extras, pesquisas rápidas na internet, etc.)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Formas de avaliação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1º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F11A33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3: </w:t>
      </w:r>
      <w:r w:rsidR="00F11A33">
        <w:rPr>
          <w:rFonts w:ascii="Arial" w:hAnsi="Arial" w:cs="Arial"/>
          <w:sz w:val="24"/>
          <w:szCs w:val="24"/>
          <w:lang w:val="pt-BR"/>
        </w:rPr>
        <w:t>trabalho sobre a indústria do petróleo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F11A33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D437A9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2º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922D4C">
        <w:rPr>
          <w:rFonts w:ascii="Arial" w:hAnsi="Arial" w:cs="Arial"/>
          <w:sz w:val="24"/>
          <w:szCs w:val="24"/>
          <w:lang w:val="pt-BR"/>
        </w:rPr>
        <w:t>3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3: </w:t>
      </w:r>
      <w:r w:rsidR="00922D4C">
        <w:rPr>
          <w:rFonts w:ascii="Arial" w:hAnsi="Arial" w:cs="Arial"/>
          <w:sz w:val="24"/>
          <w:szCs w:val="24"/>
          <w:lang w:val="pt-BR"/>
        </w:rPr>
        <w:t>trabalho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922D4C">
        <w:rPr>
          <w:rFonts w:ascii="Arial" w:hAnsi="Arial" w:cs="Arial"/>
          <w:sz w:val="24"/>
          <w:szCs w:val="24"/>
          <w:lang w:val="pt-BR"/>
        </w:rPr>
        <w:t>3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F11A33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614B8B" w:rsidRDefault="00614B8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B32DF4" w:rsidRPr="00C14EAE" w:rsidRDefault="00614B8B" w:rsidP="00B32DF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90D92">
        <w:rPr>
          <w:rFonts w:ascii="Arial" w:hAnsi="Arial" w:cs="Arial"/>
          <w:sz w:val="24"/>
          <w:szCs w:val="24"/>
          <w:lang w:val="pt-BR"/>
        </w:rPr>
        <w:t>Horário disponível para aten</w:t>
      </w:r>
      <w:r w:rsidR="005129C0">
        <w:rPr>
          <w:rFonts w:ascii="Arial" w:hAnsi="Arial" w:cs="Arial"/>
          <w:sz w:val="24"/>
          <w:szCs w:val="24"/>
          <w:lang w:val="pt-BR"/>
        </w:rPr>
        <w:t>dimento preferencial:</w:t>
      </w:r>
      <w:r w:rsidR="00C14EAE" w:rsidRPr="00C14EAE">
        <w:t xml:space="preserve"> </w:t>
      </w:r>
      <w:r w:rsidR="00B32DF4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atendimento individual extraclasse será realizado na </w:t>
      </w:r>
      <w:r w:rsidR="00B32DF4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segunda-feira</w:t>
      </w:r>
      <w:r w:rsidR="00B32DF4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(dás </w:t>
      </w:r>
      <w:r w:rsidR="00B32DF4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B32DF4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32DF4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32DF4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às 1</w:t>
      </w:r>
      <w:r w:rsidR="00B32DF4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32DF4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32DF4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B32DF4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32DF4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="00B32DF4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B32DF4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na quarta-feira (dás 13:30 às 16:30 </w:t>
      </w:r>
      <w:proofErr w:type="spellStart"/>
      <w:r w:rsidR="00B32DF4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="00B32DF4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B32DF4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nas dependências da biblioteca do campus.</w:t>
      </w:r>
    </w:p>
    <w:p w:rsidR="00C14EAE" w:rsidRDefault="00C14EAE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</w:pPr>
    </w:p>
    <w:p w:rsidR="00C14EAE" w:rsidRDefault="00C14EAE" w:rsidP="00C14EAE"/>
    <w:p w:rsidR="00C14EAE" w:rsidRDefault="00C14EAE" w:rsidP="00C14EAE"/>
    <w:p w:rsidR="00C14EAE" w:rsidRPr="00C14EAE" w:rsidRDefault="00C14EAE" w:rsidP="00C14EAE"/>
    <w:p w:rsidR="00590D9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 xml:space="preserve">.Bibliografia </w:t>
      </w:r>
      <w:r w:rsidR="00590D92">
        <w:rPr>
          <w:rFonts w:ascii="Arial" w:hAnsi="Arial" w:cs="Arial"/>
          <w:b/>
          <w:bCs/>
          <w:sz w:val="24"/>
          <w:szCs w:val="24"/>
        </w:rPr>
        <w:t>básica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COSTA, Wanderlei Messias da. A importância da Geografia Política. In: O Estado e as Políticas Territoriais no Brasil. São Paulo: Contexto, 1995. [p.17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PESAVENTO, S. J. História do Rio Grande do Sul. Porto Alegre, Mercado Aberto, 1982. (Série Revisão)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2E2A50" w:rsidRDefault="00590D9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9.Bibliografia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ASSEMBLÉIA LEGISLATIVA DO RIO GRANDE DO SUL. Comissão dos Assuntos Municipais. Evolução municipal do RS 1809-1996, Porto Alegre, 2002.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CANO, W. Reflexões sobre o Brasil e a nova (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des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) ordem internacional. Campinas, São Paulo: UNICAMP/FAPESP, 1993.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________________. Fim de milênio.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Klauss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Brandini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Gerhardt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CASTRO, Iná E.de. Capítulo 5 do livro Geografia e Política, RJ, Bertrand Brasil, 2005, pp.163212.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HOBSBAWM, Eric. Nações e nacionalismos desde 1780. Rio de Janeiro: Paz e Terra, 1991. [p.11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RATZEL, Friedrich. O povo e seu território. In: MORAES,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C. R. (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org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).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Ratzel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Ática,1990. [p.73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82].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815FBF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57F46" w:rsidRDefault="00357F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57F46" w:rsidRDefault="00357F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57F46" w:rsidRDefault="00357F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638BA" w:rsidRPr="00F11A33" w:rsidRDefault="005638BA" w:rsidP="005638BA">
      <w:pPr>
        <w:pStyle w:val="CorpoA"/>
        <w:ind w:left="0" w:firstLine="0"/>
        <w:jc w:val="center"/>
        <w:rPr>
          <w:rFonts w:eastAsia="Arial Bold" w:hAnsi="Arial" w:cs="Arial"/>
          <w:b/>
        </w:rPr>
      </w:pPr>
    </w:p>
    <w:p w:rsidR="005638BA" w:rsidRPr="00F11A33" w:rsidRDefault="005638BA" w:rsidP="005638BA">
      <w:pPr>
        <w:pStyle w:val="CorpoA"/>
        <w:rPr>
          <w:rFonts w:hAnsi="Arial" w:cs="Arial"/>
          <w:b/>
        </w:rPr>
      </w:pPr>
    </w:p>
    <w:p w:rsidR="005638BA" w:rsidRPr="00EC416E" w:rsidRDefault="00753560" w:rsidP="005638BA">
      <w:pPr>
        <w:pStyle w:val="CorpoA"/>
        <w:rPr>
          <w:rFonts w:eastAsia="Arial Bold" w:hAnsi="Arial" w:cs="Arial"/>
          <w:b/>
          <w:lang w:val="pt-PT"/>
        </w:rPr>
      </w:pPr>
      <w:r>
        <w:rPr>
          <w:rFonts w:hAnsi="Arial" w:cs="Arial"/>
          <w:b/>
          <w:lang w:val="pt-PT"/>
        </w:rPr>
        <w:t xml:space="preserve">      </w:t>
      </w:r>
      <w:r w:rsidR="005638BA" w:rsidRPr="00EC416E">
        <w:rPr>
          <w:rFonts w:hAnsi="Arial" w:cs="Arial"/>
          <w:b/>
          <w:lang w:val="pt-PT"/>
        </w:rPr>
        <w:t>1º Semestre</w:t>
      </w:r>
    </w:p>
    <w:p w:rsidR="005638BA" w:rsidRDefault="005638BA" w:rsidP="005638BA">
      <w:pPr>
        <w:pStyle w:val="CorpoA"/>
        <w:rPr>
          <w:lang w:val="pt-PT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5638BA" w:rsidRPr="00EC416E" w:rsidTr="00E70BE4">
        <w:trPr>
          <w:trHeight w:val="290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</w:tr>
      <w:tr w:rsidR="005638BA" w:rsidRPr="00822089" w:rsidTr="00E70BE4">
        <w:tblPrEx>
          <w:shd w:val="clear" w:color="auto" w:fill="auto"/>
        </w:tblPrEx>
        <w:trPr>
          <w:trHeight w:val="30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disciplina: conceitos geográficos basilares.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formação do Vale dos Sinos: aspectos físicos e humanos.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737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 formação do Vale dos Sinos</w:t>
            </w:r>
            <w:r>
              <w:rPr>
                <w:rFonts w:ascii="Arial" w:hAnsi="Arial" w:cs="Arial"/>
                <w:sz w:val="24"/>
                <w:szCs w:val="24"/>
              </w:rPr>
              <w:t>: aspectos físicos e humanos.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49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a cultura, a inform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ática, a 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produ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ção do pl</w:t>
            </w:r>
            <w:r w:rsidRPr="00BA69BD">
              <w:rPr>
                <w:rFonts w:ascii="Arial" w:hAnsi="Arial" w:cs="Arial"/>
                <w:sz w:val="24"/>
                <w:szCs w:val="24"/>
              </w:rPr>
              <w:t>á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 xml:space="preserve">stico como </w:t>
            </w:r>
            <w:r w:rsidRPr="00BA69BD">
              <w:rPr>
                <w:rFonts w:ascii="Arial" w:hAnsi="Arial" w:cs="Arial"/>
                <w:sz w:val="24"/>
                <w:szCs w:val="24"/>
              </w:rPr>
              <w:t>“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meios” organizacionais do espa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ço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357F46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1.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macro setores da economia (Primário: agropecuária, silvicultura e pesca).</w:t>
            </w:r>
          </w:p>
        </w:tc>
      </w:tr>
      <w:tr w:rsidR="005638BA" w:rsidRPr="00AA6762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357F46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Espaço Geográfico e setores econômicos.</w:t>
            </w:r>
          </w:p>
        </w:tc>
      </w:tr>
      <w:tr w:rsidR="005638BA" w:rsidRPr="00EC416E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Espaço é poder: macro setores da economia</w:t>
            </w:r>
          </w:p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(Primário, Secundário e Terciário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).</w:t>
            </w:r>
          </w:p>
        </w:tc>
      </w:tr>
      <w:tr w:rsidR="005638BA" w:rsidRPr="00EC416E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357F46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2</w:t>
            </w:r>
            <w:r w:rsidR="005638BA"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8D5DD7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A0252F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lastRenderedPageBreak/>
              <w:t>Aula 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C4014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3.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C4014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para a recuperação semestral.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Re</w:t>
            </w:r>
            <w:r w:rsidR="00C40145">
              <w:rPr>
                <w:rFonts w:ascii="Arial" w:hAnsi="Arial" w:cs="Arial"/>
                <w:sz w:val="24"/>
                <w:szCs w:val="24"/>
              </w:rPr>
              <w:t>cuperação semestral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5638BA" w:rsidRPr="003A3E13" w:rsidRDefault="00357F46" w:rsidP="005638BA">
      <w:pPr>
        <w:pStyle w:val="CorpoA"/>
        <w:ind w:left="0" w:firstLine="0"/>
        <w:rPr>
          <w:rFonts w:eastAsia="Arial Bold" w:hAnsi="Arial" w:cs="Arial"/>
          <w:b/>
        </w:rPr>
      </w:pPr>
      <w:r>
        <w:rPr>
          <w:rFonts w:hAnsi="Arial" w:cs="Arial"/>
          <w:b/>
          <w:lang w:val="pt-PT"/>
        </w:rPr>
        <w:t xml:space="preserve">       </w:t>
      </w:r>
      <w:r w:rsidR="005638BA" w:rsidRPr="003A3E13">
        <w:rPr>
          <w:rFonts w:hAnsi="Arial" w:cs="Arial"/>
          <w:b/>
          <w:lang w:val="pt-PT"/>
        </w:rPr>
        <w:t>2º Semestre</w:t>
      </w:r>
    </w:p>
    <w:p w:rsidR="005638BA" w:rsidRPr="003A3E13" w:rsidRDefault="005638BA" w:rsidP="005638BA">
      <w:pPr>
        <w:pStyle w:val="CorpoA"/>
        <w:rPr>
          <w:rFonts w:eastAsia="Arial Bold"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5638BA" w:rsidRPr="003A3E13" w:rsidTr="00E70BE4">
        <w:trPr>
          <w:trHeight w:val="290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Conteúdo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30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ALAC, APEC e ASEAN.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Comunidade dos Pa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r w:rsidRPr="00850892">
              <w:rPr>
                <w:rFonts w:ascii="Arial" w:hAnsi="Arial" w:cs="Arial"/>
                <w:sz w:val="24"/>
                <w:szCs w:val="24"/>
              </w:rPr>
              <w:t>ses</w:t>
            </w:r>
            <w:proofErr w:type="spellEnd"/>
            <w:r w:rsidRPr="0085089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50892">
              <w:rPr>
                <w:rFonts w:ascii="Arial" w:hAnsi="Arial" w:cs="Arial"/>
                <w:sz w:val="24"/>
                <w:szCs w:val="24"/>
              </w:rPr>
              <w:t>L</w:t>
            </w:r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ngua Portuguesa.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Grupos dos 8 (G8), Grupo dos 20 (G20) e outras organizações supranacionais.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Grupos dos 8 (G8), Grupo dos 20 (G20) e outras organizações supranacionais.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Avaliação 1.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3943F9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Avaliação 2</w:t>
            </w:r>
            <w:r w:rsidR="005638BA" w:rsidRPr="003A3E13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esfera da vida e a questão ambiental.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lastRenderedPageBreak/>
              <w:t>Aula 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questão ambiental: conferências ambientais/problemas ambientais.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3943F9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Revisão para a recuperação semestral</w:t>
            </w:r>
            <w:r w:rsidR="005638BA" w:rsidRPr="003A3E13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3943F9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Recuperação semestral</w:t>
            </w:r>
            <w:r w:rsidR="005638BA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Revisão para a recuperação </w:t>
            </w:r>
            <w:r w:rsidR="003943F9">
              <w:rPr>
                <w:rFonts w:ascii="Arial" w:hAnsi="Arial" w:cs="Arial"/>
                <w:sz w:val="24"/>
                <w:szCs w:val="24"/>
                <w:lang w:val="pt-PT"/>
              </w:rPr>
              <w:t>anual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Recuperação </w:t>
            </w:r>
            <w:r w:rsidR="003943F9">
              <w:rPr>
                <w:rFonts w:ascii="Arial" w:hAnsi="Arial" w:cs="Arial"/>
                <w:sz w:val="24"/>
                <w:szCs w:val="24"/>
                <w:lang w:val="pt-PT"/>
              </w:rPr>
              <w:t>anual</w:t>
            </w:r>
            <w:bookmarkStart w:id="0" w:name="_GoBack"/>
            <w:bookmarkEnd w:id="0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3C" w:rsidRDefault="005D523C" w:rsidP="00E6564C">
      <w:r>
        <w:separator/>
      </w:r>
    </w:p>
  </w:endnote>
  <w:endnote w:type="continuationSeparator" w:id="0">
    <w:p w:rsidR="005D523C" w:rsidRDefault="005D523C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3C" w:rsidRDefault="005D523C" w:rsidP="00E6564C">
      <w:r>
        <w:separator/>
      </w:r>
    </w:p>
  </w:footnote>
  <w:footnote w:type="continuationSeparator" w:id="0">
    <w:p w:rsidR="005D523C" w:rsidRDefault="005D523C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82CC9"/>
    <w:multiLevelType w:val="multilevel"/>
    <w:tmpl w:val="8A182CE8"/>
    <w:styleLink w:val="List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218DA"/>
    <w:rsid w:val="000666ED"/>
    <w:rsid w:val="0008685D"/>
    <w:rsid w:val="000B0B0E"/>
    <w:rsid w:val="000D2B1A"/>
    <w:rsid w:val="000D3FDD"/>
    <w:rsid w:val="000F323D"/>
    <w:rsid w:val="000F78EB"/>
    <w:rsid w:val="00133858"/>
    <w:rsid w:val="00136092"/>
    <w:rsid w:val="00140462"/>
    <w:rsid w:val="001434E7"/>
    <w:rsid w:val="00155214"/>
    <w:rsid w:val="00160596"/>
    <w:rsid w:val="0016260E"/>
    <w:rsid w:val="001638A2"/>
    <w:rsid w:val="00166696"/>
    <w:rsid w:val="00172B8D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41F58"/>
    <w:rsid w:val="00254DD2"/>
    <w:rsid w:val="002568A8"/>
    <w:rsid w:val="00257F5E"/>
    <w:rsid w:val="002755B0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57F46"/>
    <w:rsid w:val="00362C23"/>
    <w:rsid w:val="003724EE"/>
    <w:rsid w:val="00380BDF"/>
    <w:rsid w:val="003943F9"/>
    <w:rsid w:val="003B208B"/>
    <w:rsid w:val="00404492"/>
    <w:rsid w:val="004178BC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B37D7"/>
    <w:rsid w:val="004C73B7"/>
    <w:rsid w:val="004E4853"/>
    <w:rsid w:val="004F5EEF"/>
    <w:rsid w:val="004F76B7"/>
    <w:rsid w:val="00502D53"/>
    <w:rsid w:val="005129C0"/>
    <w:rsid w:val="00517CA0"/>
    <w:rsid w:val="005256BA"/>
    <w:rsid w:val="005316E2"/>
    <w:rsid w:val="00545F43"/>
    <w:rsid w:val="00546469"/>
    <w:rsid w:val="005514C4"/>
    <w:rsid w:val="00553525"/>
    <w:rsid w:val="005638BA"/>
    <w:rsid w:val="005765D7"/>
    <w:rsid w:val="00590D92"/>
    <w:rsid w:val="00593C24"/>
    <w:rsid w:val="005D523C"/>
    <w:rsid w:val="005D580B"/>
    <w:rsid w:val="005E25BB"/>
    <w:rsid w:val="005E3EC5"/>
    <w:rsid w:val="005E4932"/>
    <w:rsid w:val="00602FB2"/>
    <w:rsid w:val="00604261"/>
    <w:rsid w:val="00614B8B"/>
    <w:rsid w:val="006204BB"/>
    <w:rsid w:val="006255DF"/>
    <w:rsid w:val="00635781"/>
    <w:rsid w:val="006370B1"/>
    <w:rsid w:val="00664DBE"/>
    <w:rsid w:val="00673E3D"/>
    <w:rsid w:val="00695523"/>
    <w:rsid w:val="006B24B7"/>
    <w:rsid w:val="006B6C88"/>
    <w:rsid w:val="006E689F"/>
    <w:rsid w:val="006F325A"/>
    <w:rsid w:val="007009C3"/>
    <w:rsid w:val="00710A01"/>
    <w:rsid w:val="0073397E"/>
    <w:rsid w:val="00735F7A"/>
    <w:rsid w:val="00742142"/>
    <w:rsid w:val="00742C45"/>
    <w:rsid w:val="00753560"/>
    <w:rsid w:val="0075668E"/>
    <w:rsid w:val="00761DC9"/>
    <w:rsid w:val="00775F5D"/>
    <w:rsid w:val="0077668D"/>
    <w:rsid w:val="007774F7"/>
    <w:rsid w:val="007D286D"/>
    <w:rsid w:val="007D2F14"/>
    <w:rsid w:val="00802E48"/>
    <w:rsid w:val="00815FBF"/>
    <w:rsid w:val="008459AF"/>
    <w:rsid w:val="00846639"/>
    <w:rsid w:val="0086089C"/>
    <w:rsid w:val="0087692F"/>
    <w:rsid w:val="008D5DD7"/>
    <w:rsid w:val="008F52A0"/>
    <w:rsid w:val="0091482B"/>
    <w:rsid w:val="00914D51"/>
    <w:rsid w:val="00916093"/>
    <w:rsid w:val="0091730E"/>
    <w:rsid w:val="00922D4C"/>
    <w:rsid w:val="009457DB"/>
    <w:rsid w:val="0095441E"/>
    <w:rsid w:val="00967101"/>
    <w:rsid w:val="0099293F"/>
    <w:rsid w:val="009A1790"/>
    <w:rsid w:val="009C3EC1"/>
    <w:rsid w:val="009D6CAE"/>
    <w:rsid w:val="009E5DBC"/>
    <w:rsid w:val="00A0252F"/>
    <w:rsid w:val="00A1194E"/>
    <w:rsid w:val="00A22346"/>
    <w:rsid w:val="00A374CA"/>
    <w:rsid w:val="00A41C5C"/>
    <w:rsid w:val="00A72E85"/>
    <w:rsid w:val="00A776CF"/>
    <w:rsid w:val="00A804DA"/>
    <w:rsid w:val="00A8773B"/>
    <w:rsid w:val="00AD57E5"/>
    <w:rsid w:val="00AE046E"/>
    <w:rsid w:val="00AE1885"/>
    <w:rsid w:val="00AF4B6E"/>
    <w:rsid w:val="00B00A5A"/>
    <w:rsid w:val="00B32DF4"/>
    <w:rsid w:val="00B51CD4"/>
    <w:rsid w:val="00B71019"/>
    <w:rsid w:val="00B75440"/>
    <w:rsid w:val="00B8702E"/>
    <w:rsid w:val="00B87871"/>
    <w:rsid w:val="00B92E0C"/>
    <w:rsid w:val="00B95EA8"/>
    <w:rsid w:val="00BB1F0F"/>
    <w:rsid w:val="00BB2628"/>
    <w:rsid w:val="00BB53FB"/>
    <w:rsid w:val="00BB548B"/>
    <w:rsid w:val="00BC026D"/>
    <w:rsid w:val="00BD52D0"/>
    <w:rsid w:val="00BF43B4"/>
    <w:rsid w:val="00C048B9"/>
    <w:rsid w:val="00C14EAE"/>
    <w:rsid w:val="00C2036B"/>
    <w:rsid w:val="00C311BC"/>
    <w:rsid w:val="00C34CFB"/>
    <w:rsid w:val="00C40145"/>
    <w:rsid w:val="00C413ED"/>
    <w:rsid w:val="00C518C7"/>
    <w:rsid w:val="00C53EF2"/>
    <w:rsid w:val="00C77850"/>
    <w:rsid w:val="00C913F1"/>
    <w:rsid w:val="00C94D89"/>
    <w:rsid w:val="00CB0042"/>
    <w:rsid w:val="00CD4D19"/>
    <w:rsid w:val="00CF29E5"/>
    <w:rsid w:val="00D05D8D"/>
    <w:rsid w:val="00D36A65"/>
    <w:rsid w:val="00D437A9"/>
    <w:rsid w:val="00D56B02"/>
    <w:rsid w:val="00D6062F"/>
    <w:rsid w:val="00D61830"/>
    <w:rsid w:val="00D726DA"/>
    <w:rsid w:val="00D94E03"/>
    <w:rsid w:val="00DA0A1A"/>
    <w:rsid w:val="00DB0A45"/>
    <w:rsid w:val="00DB5A32"/>
    <w:rsid w:val="00DC49C9"/>
    <w:rsid w:val="00DD46E8"/>
    <w:rsid w:val="00DE6F89"/>
    <w:rsid w:val="00DF2159"/>
    <w:rsid w:val="00DF301B"/>
    <w:rsid w:val="00E0151C"/>
    <w:rsid w:val="00E358A0"/>
    <w:rsid w:val="00E43C3D"/>
    <w:rsid w:val="00E6564C"/>
    <w:rsid w:val="00ED1582"/>
    <w:rsid w:val="00ED19C2"/>
    <w:rsid w:val="00ED34DC"/>
    <w:rsid w:val="00EE055B"/>
    <w:rsid w:val="00EF5BA2"/>
    <w:rsid w:val="00F03ACE"/>
    <w:rsid w:val="00F11A33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B48"/>
    <w:rsid w:val="00FD3FF4"/>
    <w:rsid w:val="00FD4BAB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367D6"/>
  <w15:chartTrackingRefBased/>
  <w15:docId w15:val="{5CEBD885-33AA-4951-B406-CF3F7FE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62CC-E240-4B54-8872-2EA43EA4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1490</Words>
  <Characters>8047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9518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Fernando Mousquer</cp:lastModifiedBy>
  <cp:revision>6</cp:revision>
  <cp:lastPrinted>2013-05-18T00:04:00Z</cp:lastPrinted>
  <dcterms:created xsi:type="dcterms:W3CDTF">2019-02-20T16:31:00Z</dcterms:created>
  <dcterms:modified xsi:type="dcterms:W3CDTF">2019-02-20T16:39:00Z</dcterms:modified>
</cp:coreProperties>
</file>