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ACE" w:rsidRDefault="00F03ACE" w:rsidP="00FD3FF4">
      <w:pPr>
        <w:rPr>
          <w:rFonts w:ascii="Arial" w:hAnsi="Arial" w:cs="Arial"/>
          <w:sz w:val="24"/>
          <w:szCs w:val="24"/>
        </w:rPr>
      </w:pPr>
    </w:p>
    <w:p w:rsidR="003724EE" w:rsidRPr="000F78EB" w:rsidRDefault="00A776CF" w:rsidP="003724E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A776CF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">
                <v:textbox>
                  <w:txbxContent>
                    <w:p w:rsidR="002E2A50" w:rsidRPr="00815FBF" w:rsidRDefault="00A776CF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2E2A50" w:rsidRPr="00DE6F8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</w:t>
      </w:r>
      <w:r w:rsidRPr="00DE6F89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: </w:t>
      </w:r>
      <w:r w:rsidR="00DE6F89" w:rsidRPr="00DE6F89">
        <w:rPr>
          <w:rFonts w:ascii="Arial" w:hAnsi="Arial" w:cs="Arial"/>
          <w:sz w:val="24"/>
          <w:szCs w:val="24"/>
        </w:rPr>
        <w:t xml:space="preserve">Técnico em </w:t>
      </w:r>
      <w:r w:rsidR="00734AB1">
        <w:rPr>
          <w:rFonts w:ascii="Arial" w:hAnsi="Arial" w:cs="Arial"/>
          <w:sz w:val="24"/>
          <w:szCs w:val="24"/>
        </w:rPr>
        <w:t>Informática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DE6F89" w:rsidRPr="00DE6F89">
        <w:rPr>
          <w:rFonts w:hAnsi="Arial" w:cs="Arial"/>
        </w:rPr>
        <w:t xml:space="preserve"> </w:t>
      </w:r>
      <w:r w:rsidR="00DE6F89" w:rsidRPr="00DE6F89">
        <w:rPr>
          <w:rFonts w:ascii="Arial" w:hAnsi="Arial" w:cs="Arial"/>
        </w:rPr>
        <w:t>Geografia</w:t>
      </w:r>
      <w:r w:rsidRPr="00DE6F89"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DE6F89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C55E7">
        <w:rPr>
          <w:rFonts w:ascii="Arial" w:hAnsi="Arial" w:cs="Arial"/>
          <w:snapToGrid w:val="0"/>
          <w:lang w:val="pt-BR" w:eastAsia="pt-BR"/>
        </w:rPr>
        <w:t>3</w:t>
      </w:r>
      <w:r w:rsidR="00734AB1">
        <w:rPr>
          <w:rFonts w:ascii="Arial" w:hAnsi="Arial" w:cs="Arial"/>
          <w:snapToGrid w:val="0"/>
          <w:lang w:val="pt-BR" w:eastAsia="pt-BR"/>
        </w:rPr>
        <w:t>K/3I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DE6F89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E6F89" w:rsidRPr="00DE6F89">
        <w:rPr>
          <w:rFonts w:ascii="Arial" w:hAnsi="Arial" w:cs="Arial"/>
          <w:snapToGrid w:val="0"/>
          <w:lang w:val="pt-BR" w:eastAsia="pt-BR"/>
        </w:rPr>
        <w:t>Fernando Mousque</w:t>
      </w:r>
      <w:r w:rsidR="00734AB1">
        <w:rPr>
          <w:rFonts w:ascii="Arial" w:hAnsi="Arial" w:cs="Arial"/>
          <w:snapToGrid w:val="0"/>
          <w:lang w:val="pt-BR" w:eastAsia="pt-BR"/>
        </w:rPr>
        <w:t>r</w:t>
      </w:r>
    </w:p>
    <w:p w:rsidR="002E2A50" w:rsidRPr="00DE6F8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60 h</w:t>
      </w:r>
      <w:r w:rsidR="00DE6F89">
        <w:rPr>
          <w:rFonts w:ascii="Arial" w:hAnsi="Arial" w:cs="Arial"/>
          <w:snapToGrid w:val="0"/>
          <w:sz w:val="24"/>
          <w:szCs w:val="24"/>
          <w:lang w:eastAsia="pt-BR"/>
        </w:rPr>
        <w:t>oras</w:t>
      </w:r>
    </w:p>
    <w:p w:rsidR="005E3EC5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882D0A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/1</w:t>
      </w:r>
    </w:p>
    <w:p w:rsidR="00D725D9" w:rsidRPr="005E3EC5" w:rsidRDefault="00D725D9" w:rsidP="00D725D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E43C3D">
        <w:rPr>
          <w:rFonts w:ascii="Arial" w:hAnsi="Arial" w:cs="Arial"/>
          <w:b/>
          <w:snapToGrid w:val="0"/>
          <w:lang w:eastAsia="pt-BR"/>
        </w:rPr>
        <w:t>:</w:t>
      </w:r>
      <w:r w:rsidRPr="00D725D9">
        <w:rPr>
          <w:rFonts w:ascii="Arial" w:hAnsi="Arial" w:cs="Arial"/>
          <w:b/>
          <w:snapToGrid w:val="0"/>
          <w:lang w:val="en-US" w:eastAsia="pt-BR"/>
        </w:rPr>
        <w:t xml:space="preserve"> </w:t>
      </w:r>
      <w:r w:rsidRPr="00D725D9">
        <w:rPr>
          <w:rFonts w:ascii="Arial" w:hAnsi="Arial" w:cs="Arial"/>
          <w:snapToGrid w:val="0"/>
          <w:lang w:val="en-US" w:eastAsia="pt-BR"/>
        </w:rPr>
        <w:t>fernandomousquer@sapucaia.ifsul.edu.br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</w:t>
      </w:r>
    </w:p>
    <w:p w:rsidR="00D725D9" w:rsidRPr="00D725D9" w:rsidRDefault="00D725D9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x-none" w:eastAsia="pt-BR"/>
        </w:rPr>
      </w:pPr>
    </w:p>
    <w:p w:rsidR="002E2A50" w:rsidRPr="00D725D9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DF2159" w:rsidRDefault="002E2A50" w:rsidP="00C518C7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C518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518C7" w:rsidRPr="00C518C7" w:rsidRDefault="00C518C7" w:rsidP="00C518C7">
            <w:pPr>
              <w:pStyle w:val="Corpodetexto"/>
              <w:rPr>
                <w:rFonts w:ascii="Arial" w:eastAsia="Arial Bold" w:hAnsi="Arial" w:cs="Arial"/>
                <w:sz w:val="24"/>
                <w:szCs w:val="24"/>
              </w:rPr>
            </w:pPr>
            <w:r w:rsidRPr="00C518C7">
              <w:rPr>
                <w:rFonts w:ascii="Arial" w:hAnsi="Arial" w:cs="Arial"/>
                <w:sz w:val="24"/>
                <w:szCs w:val="24"/>
              </w:rPr>
              <w:t>Organização do espaço do Rio Grande do Sul e do Brasil.</w:t>
            </w:r>
          </w:p>
          <w:p w:rsidR="002E2A50" w:rsidRPr="00815FBF" w:rsidRDefault="00C518C7" w:rsidP="00C518C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C518C7">
              <w:rPr>
                <w:rFonts w:ascii="Arial" w:hAnsi="Arial" w:cs="Arial"/>
                <w:sz w:val="24"/>
                <w:szCs w:val="24"/>
              </w:rPr>
              <w:t xml:space="preserve">Identificar e analisar os processos de formação territorial do Rio Grande do Sul e do Brasil. Aplicar os conhecimentos do conjunto das disciplinas de ciências humanas, da natureza e exatas na construção de novos conhecimentos nas diferentes escalas abordadas. Comparar os distintos processos regionais de formação territorial do Brasil. Analisar e debater alternativas de desenvolvimento para as diferenças regionais. Distinguir, discriminar e investigar sobre a organização territorial e suas dinâmicas no território brasileiro nas escalas nacional, regional e local.  Aplicar técnicas de representação espacial (linguagem cartográfica) para evidenciar a realidade </w:t>
            </w:r>
            <w:proofErr w:type="spellStart"/>
            <w:r w:rsidRPr="00C518C7">
              <w:rPr>
                <w:rFonts w:ascii="Arial" w:hAnsi="Arial" w:cs="Arial"/>
                <w:sz w:val="24"/>
                <w:szCs w:val="24"/>
              </w:rPr>
              <w:t>sócio-espacial</w:t>
            </w:r>
            <w:proofErr w:type="spellEnd"/>
            <w:r w:rsidRPr="00C518C7">
              <w:rPr>
                <w:rFonts w:ascii="Arial" w:hAnsi="Arial" w:cs="Arial"/>
                <w:sz w:val="24"/>
                <w:szCs w:val="24"/>
              </w:rPr>
              <w:t>. Discutir analiticamente sobre o meio ambiente no contexto contemporâneo.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546469" w:rsidRPr="00546469" w:rsidRDefault="002E2A50" w:rsidP="0008685D">
            <w:pPr>
              <w:pStyle w:val="Cabealh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spacing w:before="240" w:after="240"/>
              <w:jc w:val="both"/>
              <w:rPr>
                <w:rFonts w:eastAsia="Arial Bold" w:hAnsi="Arial" w:cs="Arial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546469" w:rsidRPr="00567AD5">
              <w:rPr>
                <w:rFonts w:hAnsi="Arial" w:cs="Arial"/>
              </w:rPr>
              <w:t xml:space="preserve"> </w:t>
            </w:r>
          </w:p>
          <w:p w:rsidR="00546469" w:rsidRPr="00546469" w:rsidRDefault="00546469" w:rsidP="00546469">
            <w:pPr>
              <w:pStyle w:val="Cabealh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ind w:left="0" w:firstLine="0"/>
              <w:jc w:val="both"/>
              <w:rPr>
                <w:rFonts w:ascii="Arial" w:eastAsia="Arial Bold" w:hAnsi="Arial" w:cs="Arial"/>
                <w:sz w:val="24"/>
                <w:szCs w:val="24"/>
              </w:rPr>
            </w:pPr>
            <w:r w:rsidRPr="00546469">
              <w:rPr>
                <w:rFonts w:ascii="Arial" w:hAnsi="Arial" w:cs="Arial"/>
                <w:sz w:val="24"/>
                <w:szCs w:val="24"/>
              </w:rPr>
              <w:t>Identificar as diferentes escalas geográficas de análise (local, regional, nacional e global) e suas correlações com o espaço geográfico (sistema de objetos e ações).</w:t>
            </w:r>
          </w:p>
          <w:p w:rsidR="00546469" w:rsidRPr="00546469" w:rsidRDefault="00546469" w:rsidP="00546469">
            <w:pPr>
              <w:pStyle w:val="Cabealh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ind w:left="0" w:firstLine="0"/>
              <w:jc w:val="both"/>
              <w:rPr>
                <w:rFonts w:ascii="Arial" w:eastAsia="Arial Bold" w:hAnsi="Arial" w:cs="Arial"/>
                <w:sz w:val="24"/>
                <w:szCs w:val="24"/>
              </w:rPr>
            </w:pPr>
            <w:r w:rsidRPr="00546469">
              <w:rPr>
                <w:rFonts w:ascii="Arial" w:hAnsi="Arial" w:cs="Arial"/>
                <w:sz w:val="24"/>
                <w:szCs w:val="24"/>
              </w:rPr>
              <w:t>Analisar as diferentes formas de ocupação do espaço e os conflitos oriundos destas ações.</w:t>
            </w:r>
          </w:p>
          <w:p w:rsidR="00546469" w:rsidRPr="00546469" w:rsidRDefault="004B37D7" w:rsidP="004B37D7">
            <w:pPr>
              <w:pStyle w:val="Corpodetexto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rPr>
                <w:rFonts w:ascii="Arial" w:eastAsia="Arial Bold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-  </w:t>
            </w:r>
            <w:r w:rsidR="00546469" w:rsidRPr="00546469">
              <w:rPr>
                <w:rFonts w:ascii="Arial" w:hAnsi="Arial" w:cs="Arial"/>
                <w:sz w:val="24"/>
                <w:szCs w:val="24"/>
              </w:rPr>
              <w:t xml:space="preserve">Compreender a distribuição espacial das atividades do setor de Informática e sua relação com o mundo do trabalho. </w:t>
            </w:r>
          </w:p>
          <w:p w:rsidR="002E2A50" w:rsidRPr="00815FBF" w:rsidRDefault="00546469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DF2159" w:rsidRDefault="002E2A50" w:rsidP="00DF2159">
            <w:pPr>
              <w:pStyle w:val="Cabealho"/>
              <w:tabs>
                <w:tab w:val="clear" w:pos="8504"/>
                <w:tab w:val="right" w:pos="8478"/>
              </w:tabs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  <w:r w:rsidR="00DF2159">
              <w:t xml:space="preserve"> </w:t>
            </w:r>
          </w:p>
          <w:p w:rsidR="00576D06" w:rsidRDefault="00576D06" w:rsidP="00576D06">
            <w:pPr>
              <w:pStyle w:val="Cabealho"/>
              <w:tabs>
                <w:tab w:val="right" w:pos="8478"/>
              </w:tabs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UNIDADE I – A Região Metropolitana de Porto Alegre (RMPA):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1.1 Dinâmicas internas da RMPA: fluxos, complementaridades espaciais.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1.2 Formação territorial ao longo da história.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1.3 Conceitos de Geografia Urbana (exemplos nacionais e locais): conurbação, malha urbana, a diferença entre cidade, sede municipal e área municipal.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1.4 As Metrópoles Regionais brasileiras.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UNIDADE II - Formação territorial do Rio Grande do Sul: da Colônia à      República: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 xml:space="preserve">2.1 Conceito de formação territorial e as temporalidades </w:t>
            </w:r>
            <w:proofErr w:type="spellStart"/>
            <w:r w:rsidRPr="00576D06">
              <w:rPr>
                <w:rFonts w:ascii="Arial" w:hAnsi="Arial" w:cs="Arial"/>
                <w:sz w:val="24"/>
                <w:szCs w:val="24"/>
              </w:rPr>
              <w:t>fronteriças</w:t>
            </w:r>
            <w:proofErr w:type="spellEnd"/>
            <w:r w:rsidRPr="00576D0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2.2 As Missões Jesuíticas: primeira territorialidade ocidental no que hoje é o Rio Grande do Sul.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2.3 Disputas Geopolíticas Portugal x Espanha e os traçados fronteiriços;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2.4 Formação da oligarquia agrária no hoje estado do RS: os secundogênitos e a ocupação da chamada Metade Sul;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2.5 As oligarquias agrárias brasileiras: ramificações de famílias e territorialização latifundiária brasileira;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2.6 A formação territorial ocidental na chamada Metade Norte do hoje Rio Grande do Sul: “os alemães” (1824) iniciam o processo de consolidação iniciado pelos açorianos.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2.7 Transformações na segunda metade do século XX: “A Revolução Verde/Tecnológica no campo” – a concentração da terra na metade Norte.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2.8  A migração para a Amazônia Legal;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2.9  A formação dos Movimento Sociais no Campo – MST, MAB, CPT, PPL,...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UNIDADE III – Cartografia: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  Alfabetização cartográfica: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2.1.1 Projeções;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2.1.2 Escalas;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2.1.3 Documentos cartográficos: cartas, mapas e outros;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2.1.4 Maquetas proporcionais às cartas topográficas do Exército;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2.1.5 Aplicar a linguagem cartográfica para a representação da RMPA.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IV. Regionalizações possíveis do Rio Grande do Sul: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4.1 O que é regionalizar para gerir e transformar;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4.2 Possibilidades de Regionalizar o RS.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V. Natureza e políticas ambientais brasileiras: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5.1 Estruturas geológicas, formas de relevo do Brasil e a sociedade;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5.2  Biomas brasileiros, políticas ambientais no Brasil;</w:t>
            </w:r>
          </w:p>
          <w:p w:rsidR="00576D06" w:rsidRPr="00576D06" w:rsidRDefault="00576D06" w:rsidP="00576D06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5.3 Geopolítica e geografia política ambiental na escala mundial, nacional e local, “Rio Mais 20”.</w:t>
            </w:r>
          </w:p>
          <w:p w:rsidR="00DF2159" w:rsidRPr="00576D06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576D06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576D06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E2A50" w:rsidRPr="00DF2159" w:rsidRDefault="002E2A50" w:rsidP="00576D06">
            <w:pPr>
              <w:pStyle w:val="Corpodetexto"/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799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8685D" w:rsidRDefault="0008685D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A776CF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-338455</wp:posOffset>
                </wp:positionV>
                <wp:extent cx="5883910" cy="5358765"/>
                <wp:effectExtent l="8255" t="8890" r="13335" b="139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535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4. PROCEDIMENTOS DIDÁTICOS:</w:t>
                            </w:r>
                          </w:p>
                          <w:p w:rsidR="005638BA" w:rsidRDefault="005638BA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eastAsia="Arial Bold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metodologia está embasada em três pilares: experiência discente, técnicas de estudo e técnicas motivacionais.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experiência discente é fundamental para o processo educativo, pois todo aluno possui o seu “banco de dados” sobre suas vivências cotidianas e históricas. Dessa forma, os conteúdos programáticos são trabalhados em parte de acordo com o vivido e, através da correlação entre o “senso comum” e os conhecimentos ditos “científicos”. A ciência geográfica é fecunda ao realizar estas correlações através de conceitos como “lugar” e “território”, contribuindo assim para um maior entendimento da sociedade, das suas mazelas e qualidades.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 técnicas de estudo tem como objetivo principal a otimização do aprendizado. A partir da associação entre a Neurociência e a Educação, procuramos desenvolver um uso mais eficiente da memória através de algumas técnicas ,tais como: palácio das memórias, mapas mentais (Tony </w:t>
                            </w:r>
                            <w:proofErr w:type="spellStart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Buzan</w:t>
                            </w:r>
                            <w:proofErr w:type="spellEnd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), mnemônica, SQ3R. Estas técnicas são utilizadas como “ferramentas” em prol de um melhor aproveitamento dos estudos, pois buscam converter o uso corriqueiro da memória de curto prazo em eventos duradouros (memória de longo prazo). Cabe ressaltar, que as </w:t>
                            </w:r>
                            <w:proofErr w:type="spellStart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ténicas</w:t>
                            </w:r>
                            <w:proofErr w:type="spellEnd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não comprometem o “pensar” do aluno, ou ainda a construção de seu senso crítico, muito pelo contrário, elas potencializam as possibilidades de conexões e interações entre as diversas formas de conhecimento, aumentando a criatividade. Ao mesmo tempo, procuramos incentivar a organização do estudo através da confecção de quadros de horário, que tem como objetivo “direcionar” o aluno para a sua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principal meta que é o estudo e suas diversas aplicações.</w:t>
                            </w:r>
                          </w:p>
                          <w:p w:rsid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Esse também é o papel das técnicas motivacionais que servem para mostrar aos discentes o papel do estudo em nossa sociedade e, o quanto ele é importante para o crescimento de uma nação, para o desenvolvimento do senso crítico e da cidadania, além é claro, da geração de emprego e renda.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0D92" w:rsidRPr="00590D92" w:rsidRDefault="00590D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0;margin-top:-26.65pt;width:463.3pt;height:421.95pt;z-index:25166182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">
                <v:textbox>
                  <w:txbxContent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590D9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  <w:t>4. PROCEDIMENTOS DIDÁTICOS:</w:t>
                      </w:r>
                    </w:p>
                    <w:p w:rsidR="005638BA" w:rsidRDefault="005638BA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eastAsia="Arial Bold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 metodologia está embasada em três pilares: experiência discente, técnicas de estudo e técnicas motivacionais.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 experiência discente é fundamental para o processo educativo, pois todo aluno possui o seu “banco de dados” sobre suas vivências cotidianas e históricas. Dessa forma, os conteúdos programáticos são trabalhados em parte de acordo com o vivido e, através da correlação entre o “senso comum” e os conhecimentos ditos “científicos”. A ciência geográfica é fecunda ao realizar estas correlações através de conceitos como “lugar” e “território”, contribuindo assim para um maior entendimento da sociedade, das suas mazelas e qualidades.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As técnicas de estudo tem como objetivo principal a otimização do aprendizado. A partir da associação entre a Neurociência e a Educação, procuramos desenvolver um uso mais eficiente da memória através de algumas técnicas ,tais como: palácio das memórias, mapas mentais (Tony Buzan), mnemônica, SQ3R. Estas técnicas são utilizadas como “ferramentas” em prol de um melhor aproveitamento dos estudos, pois buscam converter o uso corriqueiro da memória de curto prazo em eventos duradouros (memória de longo prazo). Cabe ressaltar, que as ténicas não comprometem o “pensar” do aluno, ou ainda a construção de seu senso crítico, muito pelo contrário, elas potencializam as possibilidades de conexões e interações entre as diversas formas de conhecimento, aumentando a criatividade. Ao mesmo tempo, procuramos incentivar a organização do estudo através da confecção de quadros de horário, que tem como objetivo “direcionar” o aluno para a sua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principal meta que é o estudo e suas diversas aplicações.</w:t>
                      </w:r>
                    </w:p>
                    <w:p w:rsid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Esse também é o papel das técnicas motivacionais que servem para mostrar aos discentes o papel do estudo em nossa sociedade e, o quanto ele é importante para o crescimento de uma nação, para o desenvolvimento do senso crítico e da cidadania, além é claro, da geração de emprego e renda.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0D92" w:rsidRPr="00590D92" w:rsidRDefault="00590D9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5. ESTRATÉGIAS DE INTERDISCIPLINARIDADE:</w:t>
      </w:r>
    </w:p>
    <w:p w:rsidR="005256BA" w:rsidRDefault="005256BA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Para o filósofo Edgard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Morin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 a interdisciplinaridade é um termo polissêmico (o mesmo vale para a Multidisciplinaridade e a Transdisciplinaridade), já que pode ter vários sentidos, desde a afirmação de existência desta ou daquela disciplina até uma suposta colaboração entre elas (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Morin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, 2003).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No caso dos cursos técnicos ofertados pelo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IFSul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, podemos pensar na segunda opção, quer dizer, pode e deve haver uma colaboração entre as diversas disciplinas que integram os cursos técnicos em Informática, Eventos e Plástico (são estes os cursos em que ministrarei aulas no ano de 2018). A noção de complexidade proposta por este mesmo autor pode auxiliar-nos nesta tarefa. A complexidade vista como aquilo que é tecido junto, aquilo que é uno e múltiplo ao mesmo tempo, ou seja, dentro desta noção cada disciplina mantém a sua identidade (uno), porém ao contribuir, ao somar os seus conhecimentos a dada realidade científica, forma-se um conjunto (múltiplo), rico de informações sobre a sociedade e a natureza.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Para atingir este objetivo pensamos no eixo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tranversal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 associado ao “mundo do trabalho”. A escolha deste tema parte do princípio que na condição futura de egressos, os discentes terão a oportunidade de vivenciar as atividades referentes ao </w:t>
      </w:r>
      <w:r w:rsidRPr="005129C0">
        <w:rPr>
          <w:rFonts w:ascii="Arial" w:hAnsi="Arial" w:cs="Arial"/>
          <w:b w:val="0"/>
          <w:sz w:val="24"/>
          <w:szCs w:val="24"/>
          <w:lang w:val="pt-BR"/>
        </w:rPr>
        <w:lastRenderedPageBreak/>
        <w:t>mercado de trabalho. Dessa forma, temas como a origem de determinados mercados, bem como as suas localizações são fundamentais para a boa atuação de nossos discentes nestes espaços.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67101" w:rsidRPr="00B70E82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="00590D92" w:rsidRPr="00B70E82">
        <w:rPr>
          <w:rFonts w:ascii="Arial" w:hAnsi="Arial" w:cs="Arial"/>
          <w:b/>
          <w:sz w:val="24"/>
          <w:szCs w:val="24"/>
          <w:lang w:val="pt-BR"/>
        </w:rPr>
        <w:t>PROCEDIMENTOS E CRITÉRIOS DE AVALIAÇÃO</w:t>
      </w:r>
      <w:r w:rsidRPr="00B70E82">
        <w:rPr>
          <w:rFonts w:ascii="Arial" w:hAnsi="Arial" w:cs="Arial"/>
          <w:b/>
          <w:sz w:val="24"/>
          <w:szCs w:val="24"/>
        </w:rPr>
        <w:t xml:space="preserve">: </w:t>
      </w:r>
    </w:p>
    <w:p w:rsidR="005256BA" w:rsidRDefault="005256BA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34CFB" w:rsidRDefault="006E689F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A avaliação enquanto processo levará em consideração as diversas habilidades e competências a serem desenvolvidas pelos discentes ao longo da jornada. O uso da escrita, de imagens e da oralidade serão analisadas a partir de provas objetivas e dissertativas, produção de resenhas e de trabalhos estarão embasados numa lógica de criação em que o inacabamento pode ser visto como algo positivo, logo tem-se como pressuposto uma ação construtiva do aluno. A retomada dos conteúdos visando as aprendizagens não alcançadas ocorrerá através de atividades complementares (leituras extras, pesquisas rápidas na internet, etc.)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Formas de avaliação</w:t>
      </w:r>
      <w:r>
        <w:rPr>
          <w:rFonts w:ascii="Arial" w:hAnsi="Arial" w:cs="Arial"/>
          <w:sz w:val="24"/>
          <w:szCs w:val="24"/>
          <w:lang w:val="pt-BR"/>
        </w:rPr>
        <w:t>:</w:t>
      </w:r>
      <w:r w:rsidRPr="00967101">
        <w:rPr>
          <w:rFonts w:ascii="Arial" w:hAnsi="Arial" w:cs="Arial"/>
          <w:sz w:val="24"/>
          <w:szCs w:val="24"/>
        </w:rPr>
        <w:t xml:space="preserve">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1º Semestre: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1: </w:t>
      </w:r>
      <w:r w:rsidR="00882D0A">
        <w:rPr>
          <w:rFonts w:ascii="Arial" w:hAnsi="Arial" w:cs="Arial"/>
          <w:sz w:val="24"/>
          <w:szCs w:val="24"/>
          <w:lang w:val="pt-BR"/>
        </w:rPr>
        <w:t>trabalho</w:t>
      </w:r>
      <w:r w:rsidRPr="00967101">
        <w:rPr>
          <w:rFonts w:ascii="Arial" w:hAnsi="Arial" w:cs="Arial"/>
          <w:sz w:val="24"/>
          <w:szCs w:val="24"/>
        </w:rPr>
        <w:t xml:space="preserve">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 w:rsidR="00882D0A">
        <w:rPr>
          <w:rFonts w:ascii="Arial" w:hAnsi="Arial" w:cs="Arial"/>
          <w:sz w:val="24"/>
          <w:szCs w:val="24"/>
          <w:lang w:val="pt-BR"/>
        </w:rPr>
        <w:t>2</w:t>
      </w:r>
      <w:r w:rsidRPr="00967101">
        <w:rPr>
          <w:rFonts w:ascii="Arial" w:hAnsi="Arial" w:cs="Arial"/>
          <w:sz w:val="24"/>
          <w:szCs w:val="24"/>
        </w:rPr>
        <w:t>,</w:t>
      </w:r>
      <w:r w:rsidR="00882D0A">
        <w:rPr>
          <w:rFonts w:ascii="Arial" w:hAnsi="Arial" w:cs="Arial"/>
          <w:sz w:val="24"/>
          <w:szCs w:val="24"/>
          <w:lang w:val="pt-BR"/>
        </w:rPr>
        <w:t>5</w:t>
      </w:r>
      <w:r w:rsidRPr="00967101">
        <w:rPr>
          <w:rFonts w:ascii="Arial" w:hAnsi="Arial" w:cs="Arial"/>
          <w:sz w:val="24"/>
          <w:szCs w:val="24"/>
        </w:rPr>
        <w:t xml:space="preserve">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- Avaliação 2: aplicação de prova com questões objetivas</w:t>
      </w:r>
      <w:r w:rsidR="00882D0A">
        <w:rPr>
          <w:rFonts w:ascii="Arial" w:hAnsi="Arial" w:cs="Arial"/>
          <w:sz w:val="24"/>
          <w:szCs w:val="24"/>
          <w:lang w:val="pt-BR"/>
        </w:rPr>
        <w:t>,</w:t>
      </w:r>
      <w:r w:rsidRPr="00967101">
        <w:rPr>
          <w:rFonts w:ascii="Arial" w:hAnsi="Arial" w:cs="Arial"/>
          <w:sz w:val="24"/>
          <w:szCs w:val="24"/>
        </w:rPr>
        <w:t xml:space="preserve"> </w:t>
      </w:r>
    </w:p>
    <w:p w:rsid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 w:rsidR="00882D0A">
        <w:rPr>
          <w:rFonts w:ascii="Arial" w:hAnsi="Arial" w:cs="Arial"/>
          <w:sz w:val="24"/>
          <w:szCs w:val="24"/>
          <w:lang w:val="pt-BR"/>
        </w:rPr>
        <w:t>2</w:t>
      </w:r>
      <w:r w:rsidRPr="00967101">
        <w:rPr>
          <w:rFonts w:ascii="Arial" w:hAnsi="Arial" w:cs="Arial"/>
          <w:sz w:val="24"/>
          <w:szCs w:val="24"/>
        </w:rPr>
        <w:t>,</w:t>
      </w:r>
      <w:r w:rsidR="00882D0A">
        <w:rPr>
          <w:rFonts w:ascii="Arial" w:hAnsi="Arial" w:cs="Arial"/>
          <w:sz w:val="24"/>
          <w:szCs w:val="24"/>
          <w:lang w:val="pt-BR"/>
        </w:rPr>
        <w:t>5</w:t>
      </w:r>
      <w:r w:rsidRPr="00967101">
        <w:rPr>
          <w:rFonts w:ascii="Arial" w:hAnsi="Arial" w:cs="Arial"/>
          <w:sz w:val="24"/>
          <w:szCs w:val="24"/>
        </w:rPr>
        <w:t xml:space="preserve"> pontos na média semestral),</w:t>
      </w:r>
    </w:p>
    <w:p w:rsid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Avaliação 3: </w:t>
      </w:r>
      <w:r w:rsidR="00882D0A">
        <w:rPr>
          <w:rFonts w:ascii="Arial" w:hAnsi="Arial" w:cs="Arial"/>
          <w:sz w:val="24"/>
          <w:szCs w:val="24"/>
          <w:lang w:val="pt-BR"/>
        </w:rPr>
        <w:t xml:space="preserve">prova dissertativa </w:t>
      </w:r>
      <w:r>
        <w:rPr>
          <w:rFonts w:ascii="Arial" w:hAnsi="Arial" w:cs="Arial"/>
          <w:sz w:val="24"/>
          <w:szCs w:val="24"/>
          <w:lang w:val="pt-BR"/>
        </w:rPr>
        <w:t>(</w:t>
      </w:r>
      <w:r w:rsidR="00D60358">
        <w:rPr>
          <w:rFonts w:ascii="Arial" w:hAnsi="Arial" w:cs="Arial"/>
          <w:sz w:val="24"/>
          <w:szCs w:val="24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882D0A">
        <w:rPr>
          <w:rFonts w:ascii="Arial" w:hAnsi="Arial" w:cs="Arial"/>
          <w:sz w:val="24"/>
          <w:szCs w:val="24"/>
          <w:lang w:val="pt-BR"/>
        </w:rPr>
        <w:t>5</w:t>
      </w:r>
      <w:r>
        <w:rPr>
          <w:rFonts w:ascii="Arial" w:hAnsi="Arial" w:cs="Arial"/>
          <w:sz w:val="24"/>
          <w:szCs w:val="24"/>
          <w:lang w:val="pt-BR"/>
        </w:rPr>
        <w:t xml:space="preserve"> ponto</w:t>
      </w:r>
      <w:r w:rsidR="00882D0A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na média semestral)</w:t>
      </w:r>
      <w:r w:rsidR="00882D0A">
        <w:rPr>
          <w:rFonts w:ascii="Arial" w:hAnsi="Arial" w:cs="Arial"/>
          <w:sz w:val="24"/>
          <w:szCs w:val="24"/>
          <w:lang w:val="pt-BR"/>
        </w:rPr>
        <w:t>,</w:t>
      </w:r>
    </w:p>
    <w:p w:rsidR="00967101" w:rsidRDefault="00882D0A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- Avaliação 4: prova objetiva/dissertativa (2,5 pontos na média semestral).</w:t>
      </w:r>
    </w:p>
    <w:p w:rsidR="00882D0A" w:rsidRPr="00882D0A" w:rsidRDefault="00882D0A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2º Semestre: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1: aplicação de prova com questões objetivas e dissertativas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 w:rsidR="00D60358"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2: aplicação de prova com questões objetivas e dissertativas </w:t>
      </w:r>
    </w:p>
    <w:p w:rsid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- Avaliação 3: resenha de livro (</w:t>
      </w:r>
      <w:r w:rsidR="00D60358">
        <w:rPr>
          <w:rFonts w:ascii="Arial" w:hAnsi="Arial" w:cs="Arial"/>
          <w:sz w:val="24"/>
          <w:szCs w:val="24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>,0 ponto</w:t>
      </w:r>
      <w:r w:rsidR="00D60358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na média semestral)</w:t>
      </w:r>
    </w:p>
    <w:p w:rsidR="00967101" w:rsidRPr="00967101" w:rsidRDefault="00967101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Pr="00614B8B" w:rsidRDefault="00614B8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 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14EAE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</w:pPr>
      <w:r>
        <w:rPr>
          <w:rFonts w:ascii="Arial" w:hAnsi="Arial" w:cs="Arial"/>
          <w:sz w:val="24"/>
          <w:szCs w:val="24"/>
          <w:lang w:val="pt-BR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r w:rsidR="00590D92">
        <w:rPr>
          <w:rFonts w:ascii="Arial" w:hAnsi="Arial" w:cs="Arial"/>
          <w:sz w:val="24"/>
          <w:szCs w:val="24"/>
          <w:lang w:val="pt-BR"/>
        </w:rPr>
        <w:t>Horário disponível para aten</w:t>
      </w:r>
      <w:r w:rsidR="005129C0">
        <w:rPr>
          <w:rFonts w:ascii="Arial" w:hAnsi="Arial" w:cs="Arial"/>
          <w:sz w:val="24"/>
          <w:szCs w:val="24"/>
          <w:lang w:val="pt-BR"/>
        </w:rPr>
        <w:t>dimento preferencial:</w:t>
      </w:r>
      <w:r w:rsidR="00C14EAE" w:rsidRPr="00C14EAE">
        <w:t xml:space="preserve"> </w:t>
      </w:r>
    </w:p>
    <w:p w:rsidR="002E2A50" w:rsidRPr="00C14EAE" w:rsidRDefault="00C14EAE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atendimento individual extraclasse será realizado na </w:t>
      </w:r>
      <w:r w:rsidR="004347D3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segunda</w:t>
      </w:r>
      <w:r w:rsidR="00D908EF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-feira</w:t>
      </w:r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(dás </w:t>
      </w:r>
      <w:r w:rsidR="00D908EF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908EF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às 1</w:t>
      </w:r>
      <w:r w:rsidR="00D908EF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908EF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908EF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na quarta-feira (dás 13:30 às 16:30 hrs)</w:t>
      </w:r>
      <w:bookmarkStart w:id="0" w:name="_GoBack"/>
      <w:bookmarkEnd w:id="0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nas dependências da biblioteca do campus.</w:t>
      </w:r>
    </w:p>
    <w:p w:rsidR="00C14EAE" w:rsidRDefault="00C14EAE" w:rsidP="00C14EAE"/>
    <w:p w:rsidR="00C14EAE" w:rsidRDefault="00C14EAE" w:rsidP="00C14EAE"/>
    <w:p w:rsidR="00C14EAE" w:rsidRPr="00C14EAE" w:rsidRDefault="00C14EAE" w:rsidP="00C14EAE"/>
    <w:p w:rsidR="00590D92" w:rsidRDefault="00E43C3D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 xml:space="preserve">.Bibliografia </w:t>
      </w:r>
      <w:r w:rsidR="00590D92">
        <w:rPr>
          <w:rFonts w:ascii="Arial" w:hAnsi="Arial" w:cs="Arial"/>
          <w:b/>
          <w:bCs/>
          <w:sz w:val="24"/>
          <w:szCs w:val="24"/>
        </w:rPr>
        <w:t>básica</w:t>
      </w:r>
    </w:p>
    <w:p w:rsid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617B5D" w:rsidRPr="00617B5D" w:rsidRDefault="00617B5D" w:rsidP="0061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617B5D">
        <w:rPr>
          <w:rFonts w:ascii="Arial" w:hAnsi="Arial" w:cs="Arial"/>
          <w:bCs/>
          <w:sz w:val="24"/>
          <w:szCs w:val="24"/>
        </w:rPr>
        <w:t xml:space="preserve">ABREU, </w:t>
      </w:r>
      <w:proofErr w:type="spellStart"/>
      <w:r w:rsidRPr="00617B5D">
        <w:rPr>
          <w:rFonts w:ascii="Arial" w:hAnsi="Arial" w:cs="Arial"/>
          <w:bCs/>
          <w:sz w:val="24"/>
          <w:szCs w:val="24"/>
        </w:rPr>
        <w:t>Angela</w:t>
      </w:r>
      <w:proofErr w:type="spellEnd"/>
      <w:r w:rsidRPr="00617B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17B5D">
        <w:rPr>
          <w:rFonts w:ascii="Arial" w:hAnsi="Arial" w:cs="Arial"/>
          <w:bCs/>
          <w:sz w:val="24"/>
          <w:szCs w:val="24"/>
        </w:rPr>
        <w:t>Ma</w:t>
      </w:r>
      <w:proofErr w:type="spellEnd"/>
      <w:r w:rsidRPr="00617B5D">
        <w:rPr>
          <w:rFonts w:ascii="Arial" w:hAnsi="Arial" w:cs="Arial"/>
          <w:bCs/>
          <w:sz w:val="24"/>
          <w:szCs w:val="24"/>
        </w:rPr>
        <w:t xml:space="preserve"> V. de Escala de Mapa: Passo a Passo, do Concreto ao Abstrato Orientação n. 6, p. 39-48, São Paulo, 1985.</w:t>
      </w:r>
    </w:p>
    <w:p w:rsidR="00617B5D" w:rsidRDefault="00617B5D" w:rsidP="0061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617B5D" w:rsidRPr="00617B5D" w:rsidRDefault="00617B5D" w:rsidP="0061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617B5D">
        <w:rPr>
          <w:rFonts w:ascii="Arial" w:hAnsi="Arial" w:cs="Arial"/>
          <w:bCs/>
          <w:sz w:val="24"/>
          <w:szCs w:val="24"/>
        </w:rPr>
        <w:t>ACSELRAD, Henri (org.). A Duração das Cidades: sustentabilidade e riscos nas políticas urbanas. Rio de Janeiro: DP&amp;A, 2001.</w:t>
      </w:r>
    </w:p>
    <w:p w:rsidR="00617B5D" w:rsidRDefault="00617B5D" w:rsidP="0061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617B5D" w:rsidRPr="00617B5D" w:rsidRDefault="00617B5D" w:rsidP="0061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617B5D">
        <w:rPr>
          <w:rFonts w:ascii="Arial" w:hAnsi="Arial" w:cs="Arial"/>
          <w:bCs/>
          <w:sz w:val="24"/>
          <w:szCs w:val="24"/>
        </w:rPr>
        <w:t>PESAVENTO, S. J. História do Rio Grande do Sul. Porto Alegre, Mercado Aberto, 1982. (Série Revisão)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2E2A50" w:rsidRDefault="00590D92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9.Bibliografia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B70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Alfabetização</w:t>
      </w:r>
      <w:r w:rsidR="00B70E82">
        <w:rPr>
          <w:rFonts w:ascii="Arial" w:hAnsi="Arial" w:cs="Arial"/>
          <w:bCs/>
          <w:sz w:val="24"/>
          <w:szCs w:val="24"/>
        </w:rPr>
        <w:t xml:space="preserve"> </w:t>
      </w:r>
      <w:r w:rsidRPr="00E53D59">
        <w:rPr>
          <w:rFonts w:ascii="Arial" w:hAnsi="Arial" w:cs="Arial"/>
          <w:bCs/>
          <w:sz w:val="24"/>
          <w:szCs w:val="24"/>
        </w:rPr>
        <w:t>Cartográfica http://meu.brfree.com.br/~pedagogiadestaq/odgeosat2000.html</w:t>
      </w:r>
    </w:p>
    <w:p w:rsidR="00E53D59" w:rsidRPr="00E53D59" w:rsidRDefault="00E53D59" w:rsidP="00B70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B70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ALMEIDA, Rosângela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Doin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 de Do Desenho ao Mapa: Iniciação Cartográfica na Escola Contexto, São Paulo, 2001.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ALBECHE, Daysi Lange. Imagens do gaúcho– história e mitificação. Porto Alegre: Edipuc,1996.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AMADO, Janaína. A revolta dos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Mucker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>. 2.ed. São Leopoldo: UNISINOS, 2002.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ALONSO, J.A.F., BENETTI, M.D. e BANDEIRA, P.S. Crescimento econômico da região sul do RS: causas e perspectivas. Fundação de Economia e Estatística, Porto Alegre, 1994.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ALVES, Francisco das Neves (org.). Pensar a Revolução Federalista. Rio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Grande:FURG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>, 1993.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ASSEMBLÉIA LEGISLATIVA DO RIO GRANDE DO SUL. Comissão dos Assuntos Municipais. Evolução municipal do RS 1809-1996, Porto Alegre,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BRÜSEKE, Franz Josef. O problema do desenvolvimento sustentável, p. 29 – 40. In: CAVALCANTI, Clóvis (org.). Desenvolvimento e natureza: estudos para uma sociedade sustentável. 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3 ed.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 São Paulo: Cortez. Recife: Fundação Joaquim Nabuco, 2001.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CAPRA,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Fritjof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>. A alfabetização ecológica: o desafio para a educação do século 21, p. 18 – 33. In: TRIGUEIRO, André (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org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>). Meio Ambiente no Século 21: 21 especialistas falam da questão ambiental nas suas áreas de conhecimento. Rio de Janeiro, Sextante, 2003.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Cem anos de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germanidade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 no R.G. S. –1824-1924. Tradução de Arthur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Blasio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Rambo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SãoLeopoldo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Unisinos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>, 1999.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CALANDRO, M. L. e CAMPOS, S. H. O desempenho da indústria em 2001: uma trajetória de desaceleração. Indicadores Econômicos FEE, Porto Alegre, v. 29, n.4, mar.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CANO, W. Reflexões sobre o Brasil e a nova (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des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) ordem 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internacional .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Cam-pinas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>,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São Paulo: Ed. UNICAMP/FAPESP, 1993.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CASTELLS, M. A sociedade em rede. Tradução de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RoneideVenâncioMajer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. São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Paulo:Paz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 e Terra, 1999.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__________. Fim de milênio. Tradução de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Klauss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Brandini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Gerhardt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Roneide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 Venâncio.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Majer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>. São Paulo: Paz e Terra, 1999.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COMPANHIA NACIONAL DE ABASTECIMENTO. Conjuntura Agropecuária. Brasília, ano1, nº.1, 2.000.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DE BONI, Luiz 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A .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 (org.).RS: imigração &amp; colonização. Porto Alegre: Mercado Aberto,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1992.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DAMIANI, A. População e Geografia. São Paulo: Contexto, 1991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DUCATTI, J. Mosaico de imagens LANDSAT-TM e macrozoneamento do Rio Grande do Sul. Porto Alegre, dez 2001. (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mimeo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)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FUNDAÇÃO DE ECONOMIA E ESTATÍSTICA. Anuário estatístico do RS 1998. Porto Alegre: FEE, 2000. (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CD-Rom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)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_______. Um século de população do Rio Grande do Sul 1900-2000. Porto Alegre: FEE, 2001. (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CD-Rom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)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GARCIA, Á. A. A balança comercial do RS em 2000. Indicadores Econômicos FEE, Porto Alegre, v.28, n.4, mar. 2001.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HEIDRISCH,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ÁlvaroLuiz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>. Além do latifúndio: geografia do interesse econômico gaúcho. Porto Alegre: Editora da Universidade, 2000.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INSTITUTO BRASILEIRO DE GEOGRAFIA E ESTATÍSTICA. Atlas Nacional do Brasil. Rio de Janeiro: IBGE, 2000.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_______. Sinopse preliminar do Censo Demográfico 2000. Rio de Janeiro: IBGE, 2001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_______. Censo Demográfico 2000. Rio de Janeiro: IBGE,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INSTITUTO DE PESQUISAS ECONÔMICA APLICADA. Base de dados macroeconômicos IPEADATA. Brasília: IPEA. Disponível: http://www.ipeadata.gov.br. Acessado em 20 de junho de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INSTITUTO NACIONAL DE ESTUDOS E PESQUISAS EDUCACIONAIS (INEP/MEC). Censo da educação superior. Disponível: http://www.inep.gov.br. Acessado em 5 de julho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JARDIM, M. L. T. Evolução da população do Rio Grande do Sul. Porto Alegre: FEE, 2002. (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mimeo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)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LIMA, R. S. A indústria gaúcha em 2000: crônica de uma recuperação anunciada. Indicadores Econômicos FEE, Porto Alegre, v.28, n.4, p. 111-132, mar. 2001.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MACHADO, Lia Osório. </w:t>
      </w:r>
      <w:r w:rsidRPr="00D6001A">
        <w:rPr>
          <w:rFonts w:ascii="Arial" w:hAnsi="Arial" w:cs="Arial"/>
          <w:bCs/>
          <w:sz w:val="24"/>
          <w:szCs w:val="24"/>
        </w:rPr>
        <w:t xml:space="preserve">Limites, Fronteiras, Redes. </w:t>
      </w:r>
      <w:r w:rsidRPr="00E53D59">
        <w:rPr>
          <w:rFonts w:ascii="Arial" w:hAnsi="Arial" w:cs="Arial"/>
          <w:bCs/>
          <w:sz w:val="24"/>
          <w:szCs w:val="24"/>
          <w:lang w:val="en-US"/>
        </w:rPr>
        <w:t xml:space="preserve">In: STROHAECKER T.M.; DAMIANI, A.; SCHAFFER, N.O.; BAUTH, N.; DUTRA, V.S. (org.). 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Fronteiras e Espaço Global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>. Porto Alegre: AGB</w:t>
      </w:r>
      <w:r w:rsidRPr="00E53D59">
        <w:rPr>
          <w:rFonts w:ascii="Cambria Math" w:hAnsi="Cambria Math" w:cs="Cambria Math"/>
          <w:bCs/>
          <w:sz w:val="24"/>
          <w:szCs w:val="24"/>
        </w:rPr>
        <w:t>‐</w:t>
      </w:r>
      <w:r w:rsidRPr="00E53D59">
        <w:rPr>
          <w:rFonts w:ascii="Arial" w:hAnsi="Arial" w:cs="Arial"/>
          <w:bCs/>
          <w:sz w:val="24"/>
          <w:szCs w:val="24"/>
        </w:rPr>
        <w:t>Porto Alegre, 1998. [p.41</w:t>
      </w:r>
      <w:r w:rsidRPr="00E53D59">
        <w:rPr>
          <w:rFonts w:ascii="Cambria Math" w:hAnsi="Cambria Math" w:cs="Cambria Math"/>
          <w:bCs/>
          <w:sz w:val="24"/>
          <w:szCs w:val="24"/>
        </w:rPr>
        <w:t>‐</w:t>
      </w:r>
      <w:r w:rsidRPr="00E53D59">
        <w:rPr>
          <w:rFonts w:ascii="Arial" w:hAnsi="Arial" w:cs="Arial"/>
          <w:bCs/>
          <w:sz w:val="24"/>
          <w:szCs w:val="24"/>
        </w:rPr>
        <w:t>49].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MAIA NETO, A. A. et al. Visão global da economia gaúcha. Indicadores Econômicos FEE, Porto Alegre, v.28, n.4, mar. 2001.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_______. A economia gaúcha em 2001: terceiro ano consecutivo de crescimento. Indicadores Econômicos FEE, Porto Alegre, v. 29, n.4, mar.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lastRenderedPageBreak/>
        <w:t xml:space="preserve">MINISTÉRIO DE RELAÇÕES EXTERIORES DO BRASIL. Dados do MERCOSUL. Brasília: MRE. Disponível: http://www.mercosul.gov.br. Acessado em 12 de agosto de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MINISTÉRIO DO DESENVOLVIMENTO, INDÚSTRIA E COMÉRCIO EXTERIOR. Secretaria do Comércio Exterior. Balança comercial por estados. Disponível: http://www.mdic.gov.br. Acessado em 23 de maio 2002.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PESAVENTO, S. J. A Burguesia Gaúcha. Porto 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Alegre :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 Mercado Aberto.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RAFFESTIN, C. Capítulos 1 e 4 do livro Por uma geografia do poder. SP, Ática,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1993, pp. 143163 e 200220.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SANCHES, S. As condições sociais básicas das famílias chefiadas por mulheres. Disponível em: http://www.fee.tche.br.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SANTOS, Milton Técnica, Espaço, Tempo: Globalização e Meio Técnico-Científico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Hucitec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>, São Paulo, 1994.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RATZEL, Friedrich. O povo e seu território. </w:t>
      </w:r>
      <w:r w:rsidRPr="00E53D59">
        <w:rPr>
          <w:rFonts w:ascii="Arial" w:hAnsi="Arial" w:cs="Arial"/>
          <w:bCs/>
          <w:sz w:val="24"/>
          <w:szCs w:val="24"/>
          <w:lang w:val="es-ES"/>
        </w:rPr>
        <w:t>In: MORAES, Antonio C. R. (</w:t>
      </w:r>
      <w:proofErr w:type="spellStart"/>
      <w:r w:rsidRPr="00E53D59">
        <w:rPr>
          <w:rFonts w:ascii="Arial" w:hAnsi="Arial" w:cs="Arial"/>
          <w:bCs/>
          <w:sz w:val="24"/>
          <w:szCs w:val="24"/>
          <w:lang w:val="es-ES"/>
        </w:rPr>
        <w:t>org</w:t>
      </w:r>
      <w:proofErr w:type="spellEnd"/>
      <w:r w:rsidRPr="00E53D59">
        <w:rPr>
          <w:rFonts w:ascii="Arial" w:hAnsi="Arial" w:cs="Arial"/>
          <w:bCs/>
          <w:sz w:val="24"/>
          <w:szCs w:val="24"/>
          <w:lang w:val="es-ES"/>
        </w:rPr>
        <w:t xml:space="preserve">).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Ratzel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>. São Paulo: Ática,1990. [p.73</w:t>
      </w:r>
      <w:r w:rsidRPr="00E53D59">
        <w:rPr>
          <w:rFonts w:ascii="Cambria Math" w:hAnsi="Cambria Math" w:cs="Cambria Math"/>
          <w:bCs/>
          <w:sz w:val="24"/>
          <w:szCs w:val="24"/>
        </w:rPr>
        <w:t>‐</w:t>
      </w:r>
      <w:r w:rsidRPr="00E53D59">
        <w:rPr>
          <w:rFonts w:ascii="Arial" w:hAnsi="Arial" w:cs="Arial"/>
          <w:bCs/>
          <w:sz w:val="24"/>
          <w:szCs w:val="24"/>
        </w:rPr>
        <w:t>82].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SANCHES, S. As condições sociais básicas das famílias chefiadas por mulheres. Disponível em: http://www.fee.tche.br.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Default="00FB2B48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815FBF" w:rsidRDefault="00FB2B48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856DFE" w:rsidRDefault="00856DF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25DC2" w:rsidRDefault="00F25DC2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25DC2" w:rsidRDefault="00F25DC2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25DC2" w:rsidRDefault="00F25DC2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25DC2" w:rsidRDefault="00F25DC2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25DC2" w:rsidRDefault="00F25DC2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25DC2" w:rsidRDefault="00F25DC2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25DC2" w:rsidRDefault="00F25DC2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856DFE" w:rsidRDefault="00856DFE" w:rsidP="003F3EC5">
      <w:pPr>
        <w:pStyle w:val="CorpoA"/>
        <w:ind w:firstLine="0"/>
        <w:rPr>
          <w:rFonts w:eastAsia="Times New Roman" w:hAnsi="Arial" w:cs="Arial"/>
          <w:snapToGrid w:val="0"/>
          <w:color w:val="auto"/>
          <w:bdr w:val="none" w:sz="0" w:space="0" w:color="auto"/>
        </w:rPr>
      </w:pPr>
    </w:p>
    <w:p w:rsidR="003F3EC5" w:rsidRPr="00651D88" w:rsidRDefault="003F3EC5" w:rsidP="003F3EC5">
      <w:pPr>
        <w:pStyle w:val="CorpoA"/>
        <w:ind w:firstLine="0"/>
        <w:rPr>
          <w:rFonts w:eastAsia="Trebuchet MS Bold" w:hAnsi="Arial" w:cs="Arial"/>
          <w:b/>
        </w:rPr>
      </w:pPr>
      <w:r w:rsidRPr="00651D88">
        <w:rPr>
          <w:rFonts w:hAnsi="Arial" w:cs="Arial"/>
          <w:b/>
          <w:lang w:val="pt-PT"/>
        </w:rPr>
        <w:t>1º Semestre</w:t>
      </w:r>
    </w:p>
    <w:p w:rsidR="003F3EC5" w:rsidRPr="00651D88" w:rsidRDefault="003F3EC5" w:rsidP="003F3EC5">
      <w:pPr>
        <w:pStyle w:val="CorpoA"/>
        <w:ind w:firstLine="0"/>
        <w:rPr>
          <w:rFonts w:hAnsi="Arial" w:cs="Arial"/>
        </w:rPr>
      </w:pPr>
    </w:p>
    <w:tbl>
      <w:tblPr>
        <w:tblStyle w:val="TableNormal"/>
        <w:tblW w:w="8498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249"/>
        <w:gridCol w:w="4249"/>
      </w:tblGrid>
      <w:tr w:rsidR="003F3EC5" w:rsidRPr="00651D88" w:rsidTr="00E70BE4">
        <w:trPr>
          <w:trHeight w:val="285"/>
          <w:tblHeader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1D88">
              <w:rPr>
                <w:rFonts w:ascii="Arial" w:hAnsi="Arial" w:cs="Arial"/>
                <w:sz w:val="24"/>
                <w:szCs w:val="24"/>
              </w:rPr>
              <w:t>Conteú</w:t>
            </w:r>
            <w:proofErr w:type="spellEnd"/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do/atividade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metrópoles (Brasil e Mundo): conceitos, características.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de-DE"/>
              </w:rPr>
              <w:t>A Regi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ão Metropolitana de Porto Alegre (RMPA).</w:t>
            </w:r>
          </w:p>
        </w:tc>
      </w:tr>
      <w:tr w:rsidR="003F3EC5" w:rsidRPr="0055015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Forma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ção Territorial da RMPA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>/Dinâmicas internas.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1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Conceitos de Geografia urbana.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As metrópoles brasileiras.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>s metrópoles brasileiras.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F25DC2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2.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Forma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ção territorial do RS</w:t>
            </w:r>
            <w:r w:rsidR="00F25DC2">
              <w:rPr>
                <w:rFonts w:ascii="Arial" w:hAnsi="Arial" w:cs="Arial"/>
                <w:sz w:val="24"/>
                <w:szCs w:val="24"/>
                <w:lang w:val="pt-PT"/>
              </w:rPr>
              <w:t>: origens.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BF3DE3" w:rsidRDefault="00F25DC2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Formação territorial do RS: evolução.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F25DC2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Formação territorial do RS: atualidade.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F25DC2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3.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25DC2">
              <w:rPr>
                <w:rFonts w:ascii="Arial" w:hAnsi="Arial" w:cs="Arial"/>
                <w:sz w:val="24"/>
                <w:szCs w:val="24"/>
              </w:rPr>
              <w:t>As</w:t>
            </w:r>
            <w:proofErr w:type="gramEnd"/>
            <w:r w:rsidR="00F25DC2">
              <w:rPr>
                <w:rFonts w:ascii="Arial" w:hAnsi="Arial" w:cs="Arial"/>
                <w:sz w:val="24"/>
                <w:szCs w:val="24"/>
              </w:rPr>
              <w:t xml:space="preserve"> regiões gaúchas e suas “vocações” econômicas e culturais.</w:t>
            </w:r>
          </w:p>
        </w:tc>
      </w:tr>
      <w:tr w:rsidR="003F3EC5" w:rsidRPr="00584B94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formação territorial ocidental na “Metade Norte” do RS.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BF3DE3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Transformações espaciais no campo</w:t>
            </w:r>
            <w:r w:rsidR="00F25DC2">
              <w:rPr>
                <w:rFonts w:ascii="Arial" w:hAnsi="Arial" w:cs="Arial"/>
                <w:sz w:val="24"/>
                <w:szCs w:val="24"/>
              </w:rPr>
              <w:t>: a “revolução verde” e os processos migratórios.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F25DC2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4.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F25DC2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notas e fechamento do semestre.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</w:t>
            </w:r>
            <w:r w:rsidR="00F25D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para a recuperação semestral.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F25DC2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Recuperação semestral.</w:t>
            </w:r>
          </w:p>
        </w:tc>
      </w:tr>
    </w:tbl>
    <w:p w:rsidR="003F3EC5" w:rsidRPr="00651D88" w:rsidRDefault="003F3EC5" w:rsidP="003F3EC5">
      <w:pPr>
        <w:pStyle w:val="CorpoA"/>
        <w:ind w:firstLine="0"/>
        <w:rPr>
          <w:rFonts w:hAnsi="Arial" w:cs="Arial"/>
        </w:rPr>
      </w:pPr>
    </w:p>
    <w:p w:rsidR="003F3EC5" w:rsidRPr="00651D88" w:rsidRDefault="003F3EC5" w:rsidP="003F3EC5">
      <w:pPr>
        <w:pStyle w:val="CorpoA"/>
        <w:ind w:firstLine="0"/>
        <w:rPr>
          <w:rFonts w:hAnsi="Arial" w:cs="Arial"/>
        </w:rPr>
      </w:pPr>
    </w:p>
    <w:p w:rsidR="00E676CD" w:rsidRDefault="003F3EC5" w:rsidP="003F3EC5">
      <w:pPr>
        <w:pStyle w:val="CorpoA"/>
        <w:ind w:left="0" w:firstLine="0"/>
        <w:rPr>
          <w:rFonts w:hAnsi="Arial" w:cs="Arial"/>
          <w:b/>
          <w:lang w:val="pt-PT"/>
        </w:rPr>
      </w:pPr>
      <w:r>
        <w:rPr>
          <w:rFonts w:hAnsi="Arial" w:cs="Arial"/>
          <w:b/>
          <w:lang w:val="pt-PT"/>
        </w:rPr>
        <w:t xml:space="preserve">      </w:t>
      </w:r>
    </w:p>
    <w:p w:rsidR="00E676CD" w:rsidRDefault="00E676CD" w:rsidP="003F3EC5">
      <w:pPr>
        <w:pStyle w:val="CorpoA"/>
        <w:ind w:left="0" w:firstLine="0"/>
        <w:rPr>
          <w:rFonts w:hAnsi="Arial" w:cs="Arial"/>
          <w:b/>
          <w:lang w:val="pt-PT"/>
        </w:rPr>
      </w:pPr>
    </w:p>
    <w:p w:rsidR="00E676CD" w:rsidRDefault="00E676CD" w:rsidP="003F3EC5">
      <w:pPr>
        <w:pStyle w:val="CorpoA"/>
        <w:ind w:left="0" w:firstLine="0"/>
        <w:rPr>
          <w:rFonts w:hAnsi="Arial" w:cs="Arial"/>
          <w:b/>
          <w:lang w:val="pt-PT"/>
        </w:rPr>
      </w:pPr>
    </w:p>
    <w:p w:rsidR="003F3EC5" w:rsidRPr="00651D88" w:rsidRDefault="00E676CD" w:rsidP="003F3EC5">
      <w:pPr>
        <w:pStyle w:val="CorpoA"/>
        <w:ind w:left="0" w:firstLine="0"/>
        <w:rPr>
          <w:rFonts w:eastAsia="Trebuchet MS Bold" w:hAnsi="Arial" w:cs="Arial"/>
          <w:b/>
        </w:rPr>
      </w:pPr>
      <w:r>
        <w:rPr>
          <w:rFonts w:hAnsi="Arial" w:cs="Arial"/>
          <w:b/>
          <w:lang w:val="pt-PT"/>
        </w:rPr>
        <w:lastRenderedPageBreak/>
        <w:t xml:space="preserve">      </w:t>
      </w:r>
      <w:r w:rsidR="003F3EC5" w:rsidRPr="00651D88">
        <w:rPr>
          <w:rFonts w:hAnsi="Arial" w:cs="Arial"/>
          <w:b/>
          <w:lang w:val="pt-PT"/>
        </w:rPr>
        <w:t>2º Semestre</w:t>
      </w:r>
    </w:p>
    <w:p w:rsidR="003F3EC5" w:rsidRPr="00651D88" w:rsidRDefault="003F3EC5" w:rsidP="003F3EC5">
      <w:pPr>
        <w:pStyle w:val="CorpoA"/>
        <w:ind w:firstLine="0"/>
        <w:rPr>
          <w:rFonts w:hAnsi="Arial" w:cs="Arial"/>
        </w:rPr>
      </w:pPr>
    </w:p>
    <w:tbl>
      <w:tblPr>
        <w:tblStyle w:val="TableNormal"/>
        <w:tblW w:w="8498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249"/>
        <w:gridCol w:w="4249"/>
      </w:tblGrid>
      <w:tr w:rsidR="003F3EC5" w:rsidRPr="00651D88" w:rsidTr="00E70BE4">
        <w:trPr>
          <w:trHeight w:val="285"/>
          <w:tblHeader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1D88">
              <w:rPr>
                <w:rFonts w:ascii="Arial" w:hAnsi="Arial" w:cs="Arial"/>
                <w:sz w:val="24"/>
                <w:szCs w:val="24"/>
              </w:rPr>
              <w:t>Conteú</w:t>
            </w:r>
            <w:proofErr w:type="spellEnd"/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do/atividade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Cartografia: alfabetização cartográfica.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Projeções e escalas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Documentos cartográficos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/maquetes.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D6001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1.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3C095A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Representações cartográficas da RMPA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Representações cartográficas da RMPA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D6001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Regionalização do RS: conceitos.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D6001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2.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Regionalização do RS: formas.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1B0D4B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Natureza e políticas ambientais: estruturas geológicas e formas de relevo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Natureza e políticas ambientais: estruturas geológicas e formas de relevo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D6001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Natureza e políticas ambientais: SNUC (Sistema Nacional de Unidades de Conservação).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384D8E" w:rsidRDefault="00D6001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Natureza e políticas ambientais: SNUC (Sistema Nacional de Unidades de Conservação).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D6001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3.</w:t>
            </w:r>
          </w:p>
        </w:tc>
      </w:tr>
      <w:tr w:rsidR="003F3EC5" w:rsidRPr="001B7807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D6001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para a recuperação semestral.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D6001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Recuperação semestral.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</w:t>
            </w:r>
            <w:r w:rsidR="00D6001A">
              <w:rPr>
                <w:rFonts w:ascii="Arial" w:hAnsi="Arial" w:cs="Arial"/>
                <w:sz w:val="24"/>
                <w:szCs w:val="24"/>
              </w:rPr>
              <w:t xml:space="preserve"> para recuperação anual.</w:t>
            </w:r>
          </w:p>
        </w:tc>
      </w:tr>
      <w:tr w:rsidR="003F3EC5" w:rsidRPr="00651D88" w:rsidTr="00E70BE4">
        <w:tblPrEx>
          <w:shd w:val="clear" w:color="auto" w:fill="auto"/>
        </w:tblPrEx>
        <w:trPr>
          <w:trHeight w:val="28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Recuperação </w:t>
            </w:r>
            <w:r w:rsidR="00D6001A">
              <w:rPr>
                <w:rFonts w:ascii="Arial" w:hAnsi="Arial" w:cs="Arial"/>
                <w:sz w:val="24"/>
                <w:szCs w:val="24"/>
              </w:rPr>
              <w:t>anual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F3EC5" w:rsidRPr="00651D88" w:rsidRDefault="003F3EC5" w:rsidP="003F3EC5">
      <w:pPr>
        <w:pStyle w:val="CorpoA"/>
        <w:ind w:left="0" w:firstLine="0"/>
        <w:rPr>
          <w:rFonts w:hAnsi="Arial" w:cs="Arial"/>
        </w:rPr>
      </w:pPr>
    </w:p>
    <w:p w:rsidR="005638BA" w:rsidRPr="005638BA" w:rsidRDefault="005638BA" w:rsidP="005638BA">
      <w:pPr>
        <w:pStyle w:val="CorpoA"/>
        <w:rPr>
          <w:rFonts w:hAnsi="Arial" w:cs="Arial"/>
          <w:b/>
          <w:lang w:val="en-US"/>
        </w:rPr>
      </w:pPr>
    </w:p>
    <w:sectPr w:rsidR="005638BA" w:rsidRPr="005638BA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FEB" w:rsidRDefault="007E3FEB" w:rsidP="00E6564C">
      <w:r>
        <w:separator/>
      </w:r>
    </w:p>
  </w:endnote>
  <w:endnote w:type="continuationSeparator" w:id="0">
    <w:p w:rsidR="007E3FEB" w:rsidRDefault="007E3FEB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FEB" w:rsidRDefault="007E3FEB" w:rsidP="00E6564C">
      <w:r>
        <w:separator/>
      </w:r>
    </w:p>
  </w:footnote>
  <w:footnote w:type="continuationSeparator" w:id="0">
    <w:p w:rsidR="007E3FEB" w:rsidRDefault="007E3FEB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82CC9"/>
    <w:multiLevelType w:val="multilevel"/>
    <w:tmpl w:val="8A182CE8"/>
    <w:styleLink w:val="List0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762B"/>
    <w:rsid w:val="000218DA"/>
    <w:rsid w:val="000666ED"/>
    <w:rsid w:val="00084A86"/>
    <w:rsid w:val="0008685D"/>
    <w:rsid w:val="000B0B0E"/>
    <w:rsid w:val="000B59B7"/>
    <w:rsid w:val="000D2B1A"/>
    <w:rsid w:val="000D3FDD"/>
    <w:rsid w:val="000F323D"/>
    <w:rsid w:val="000F78EB"/>
    <w:rsid w:val="00133858"/>
    <w:rsid w:val="00136092"/>
    <w:rsid w:val="00140462"/>
    <w:rsid w:val="001434E7"/>
    <w:rsid w:val="00155214"/>
    <w:rsid w:val="00160596"/>
    <w:rsid w:val="0016260E"/>
    <w:rsid w:val="00166696"/>
    <w:rsid w:val="00172B8D"/>
    <w:rsid w:val="00183EFE"/>
    <w:rsid w:val="001B24B7"/>
    <w:rsid w:val="001D5C44"/>
    <w:rsid w:val="001F79C5"/>
    <w:rsid w:val="00203D7F"/>
    <w:rsid w:val="00205CE5"/>
    <w:rsid w:val="00210CBB"/>
    <w:rsid w:val="002250EB"/>
    <w:rsid w:val="00227D35"/>
    <w:rsid w:val="00231825"/>
    <w:rsid w:val="00236C43"/>
    <w:rsid w:val="00254DD2"/>
    <w:rsid w:val="002568A8"/>
    <w:rsid w:val="00257F5E"/>
    <w:rsid w:val="002755B0"/>
    <w:rsid w:val="002A4D7D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62C23"/>
    <w:rsid w:val="003724EE"/>
    <w:rsid w:val="00380BDF"/>
    <w:rsid w:val="003B208B"/>
    <w:rsid w:val="003F3EC5"/>
    <w:rsid w:val="00404492"/>
    <w:rsid w:val="004178BC"/>
    <w:rsid w:val="00433787"/>
    <w:rsid w:val="004345E5"/>
    <w:rsid w:val="004347D3"/>
    <w:rsid w:val="00435825"/>
    <w:rsid w:val="0045160A"/>
    <w:rsid w:val="00462745"/>
    <w:rsid w:val="004667B2"/>
    <w:rsid w:val="00474A40"/>
    <w:rsid w:val="004909BF"/>
    <w:rsid w:val="00494F22"/>
    <w:rsid w:val="004A34F4"/>
    <w:rsid w:val="004B37D7"/>
    <w:rsid w:val="004B40FE"/>
    <w:rsid w:val="004C73B7"/>
    <w:rsid w:val="004D3857"/>
    <w:rsid w:val="004E4853"/>
    <w:rsid w:val="004F5EEF"/>
    <w:rsid w:val="004F76B7"/>
    <w:rsid w:val="00502D53"/>
    <w:rsid w:val="005046AB"/>
    <w:rsid w:val="005129C0"/>
    <w:rsid w:val="00517CA0"/>
    <w:rsid w:val="005256BA"/>
    <w:rsid w:val="00530F1E"/>
    <w:rsid w:val="005316E2"/>
    <w:rsid w:val="00545F43"/>
    <w:rsid w:val="00546469"/>
    <w:rsid w:val="005514C4"/>
    <w:rsid w:val="005638BA"/>
    <w:rsid w:val="00574CBE"/>
    <w:rsid w:val="005765D7"/>
    <w:rsid w:val="00576D06"/>
    <w:rsid w:val="00590D92"/>
    <w:rsid w:val="00593C24"/>
    <w:rsid w:val="005D580B"/>
    <w:rsid w:val="005E25BB"/>
    <w:rsid w:val="005E3EC5"/>
    <w:rsid w:val="005E4932"/>
    <w:rsid w:val="00602FB2"/>
    <w:rsid w:val="00604261"/>
    <w:rsid w:val="00614B8B"/>
    <w:rsid w:val="00617B5D"/>
    <w:rsid w:val="006204BB"/>
    <w:rsid w:val="006255DF"/>
    <w:rsid w:val="00635781"/>
    <w:rsid w:val="006370B1"/>
    <w:rsid w:val="00664DBE"/>
    <w:rsid w:val="00673E3D"/>
    <w:rsid w:val="00675558"/>
    <w:rsid w:val="00695523"/>
    <w:rsid w:val="006B24B7"/>
    <w:rsid w:val="006B6C88"/>
    <w:rsid w:val="006E689F"/>
    <w:rsid w:val="006F325A"/>
    <w:rsid w:val="007009C3"/>
    <w:rsid w:val="0070329D"/>
    <w:rsid w:val="00710A01"/>
    <w:rsid w:val="0073397E"/>
    <w:rsid w:val="00734AB1"/>
    <w:rsid w:val="00735D9B"/>
    <w:rsid w:val="00735F7A"/>
    <w:rsid w:val="00742142"/>
    <w:rsid w:val="00742C45"/>
    <w:rsid w:val="0075668E"/>
    <w:rsid w:val="00761DC9"/>
    <w:rsid w:val="00775F5D"/>
    <w:rsid w:val="0077668D"/>
    <w:rsid w:val="007774F7"/>
    <w:rsid w:val="007D286D"/>
    <w:rsid w:val="007E3FEB"/>
    <w:rsid w:val="00802E48"/>
    <w:rsid w:val="00815FBF"/>
    <w:rsid w:val="008459AF"/>
    <w:rsid w:val="00846639"/>
    <w:rsid w:val="00856DFE"/>
    <w:rsid w:val="0086089C"/>
    <w:rsid w:val="0087692F"/>
    <w:rsid w:val="00882D0A"/>
    <w:rsid w:val="008E7A28"/>
    <w:rsid w:val="008F52A0"/>
    <w:rsid w:val="0091482B"/>
    <w:rsid w:val="00914D51"/>
    <w:rsid w:val="00916093"/>
    <w:rsid w:val="0091730E"/>
    <w:rsid w:val="009457DB"/>
    <w:rsid w:val="0095441E"/>
    <w:rsid w:val="00967101"/>
    <w:rsid w:val="0099293F"/>
    <w:rsid w:val="009A1790"/>
    <w:rsid w:val="009B3F57"/>
    <w:rsid w:val="009D6CAE"/>
    <w:rsid w:val="009E5DBC"/>
    <w:rsid w:val="00A1194E"/>
    <w:rsid w:val="00A22346"/>
    <w:rsid w:val="00A374CA"/>
    <w:rsid w:val="00A6790F"/>
    <w:rsid w:val="00A72E85"/>
    <w:rsid w:val="00A776CF"/>
    <w:rsid w:val="00A804DA"/>
    <w:rsid w:val="00A8773B"/>
    <w:rsid w:val="00AC55E7"/>
    <w:rsid w:val="00AD57E5"/>
    <w:rsid w:val="00AE046E"/>
    <w:rsid w:val="00AE1885"/>
    <w:rsid w:val="00AF4B6E"/>
    <w:rsid w:val="00B00A5A"/>
    <w:rsid w:val="00B70E82"/>
    <w:rsid w:val="00B71019"/>
    <w:rsid w:val="00B75440"/>
    <w:rsid w:val="00B8702E"/>
    <w:rsid w:val="00B87871"/>
    <w:rsid w:val="00B92E0C"/>
    <w:rsid w:val="00B95EA8"/>
    <w:rsid w:val="00BB1F0F"/>
    <w:rsid w:val="00BB2628"/>
    <w:rsid w:val="00BB53FB"/>
    <w:rsid w:val="00BB548B"/>
    <w:rsid w:val="00BC026D"/>
    <w:rsid w:val="00BD52D0"/>
    <w:rsid w:val="00BF43B4"/>
    <w:rsid w:val="00C048B9"/>
    <w:rsid w:val="00C14EAE"/>
    <w:rsid w:val="00C2036B"/>
    <w:rsid w:val="00C311BC"/>
    <w:rsid w:val="00C32845"/>
    <w:rsid w:val="00C34CFB"/>
    <w:rsid w:val="00C413ED"/>
    <w:rsid w:val="00C518C7"/>
    <w:rsid w:val="00C53EF2"/>
    <w:rsid w:val="00C77471"/>
    <w:rsid w:val="00C77850"/>
    <w:rsid w:val="00C913F1"/>
    <w:rsid w:val="00C94D89"/>
    <w:rsid w:val="00CB0042"/>
    <w:rsid w:val="00CD4D19"/>
    <w:rsid w:val="00CF1364"/>
    <w:rsid w:val="00CF29E5"/>
    <w:rsid w:val="00D05D8D"/>
    <w:rsid w:val="00D36A65"/>
    <w:rsid w:val="00D47EA3"/>
    <w:rsid w:val="00D56B02"/>
    <w:rsid w:val="00D6001A"/>
    <w:rsid w:val="00D60358"/>
    <w:rsid w:val="00D6062F"/>
    <w:rsid w:val="00D61830"/>
    <w:rsid w:val="00D725D9"/>
    <w:rsid w:val="00D726DA"/>
    <w:rsid w:val="00D908EF"/>
    <w:rsid w:val="00D94E03"/>
    <w:rsid w:val="00DB0A45"/>
    <w:rsid w:val="00DB5A32"/>
    <w:rsid w:val="00DC49C9"/>
    <w:rsid w:val="00DD46E8"/>
    <w:rsid w:val="00DE6F89"/>
    <w:rsid w:val="00DF2159"/>
    <w:rsid w:val="00DF301B"/>
    <w:rsid w:val="00E0151C"/>
    <w:rsid w:val="00E134AA"/>
    <w:rsid w:val="00E20859"/>
    <w:rsid w:val="00E358A0"/>
    <w:rsid w:val="00E43C3D"/>
    <w:rsid w:val="00E53D59"/>
    <w:rsid w:val="00E6564C"/>
    <w:rsid w:val="00E676CD"/>
    <w:rsid w:val="00E83E17"/>
    <w:rsid w:val="00ED1582"/>
    <w:rsid w:val="00ED19C2"/>
    <w:rsid w:val="00ED34DC"/>
    <w:rsid w:val="00EE055B"/>
    <w:rsid w:val="00EF5BA2"/>
    <w:rsid w:val="00EF7E96"/>
    <w:rsid w:val="00F03ACE"/>
    <w:rsid w:val="00F13FC8"/>
    <w:rsid w:val="00F25DC2"/>
    <w:rsid w:val="00F42B82"/>
    <w:rsid w:val="00F44A23"/>
    <w:rsid w:val="00F54AFB"/>
    <w:rsid w:val="00F61B1A"/>
    <w:rsid w:val="00F64AF6"/>
    <w:rsid w:val="00F807A0"/>
    <w:rsid w:val="00F83C15"/>
    <w:rsid w:val="00F84782"/>
    <w:rsid w:val="00F85F12"/>
    <w:rsid w:val="00F91F48"/>
    <w:rsid w:val="00FA14C1"/>
    <w:rsid w:val="00FB0286"/>
    <w:rsid w:val="00FB2B48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6B46F"/>
  <w15:chartTrackingRefBased/>
  <w15:docId w15:val="{5CEBD885-33AA-4951-B406-CF3F7FE3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numbering" w:customStyle="1" w:styleId="List0">
    <w:name w:val="List 0"/>
    <w:basedOn w:val="Semlista"/>
    <w:rsid w:val="00546469"/>
    <w:pPr>
      <w:numPr>
        <w:numId w:val="4"/>
      </w:numPr>
    </w:pPr>
  </w:style>
  <w:style w:type="table" w:customStyle="1" w:styleId="TableNormal">
    <w:name w:val="Table Normal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5638BA"/>
    <w:pPr>
      <w:pBdr>
        <w:top w:val="nil"/>
        <w:left w:val="nil"/>
        <w:bottom w:val="nil"/>
        <w:right w:val="nil"/>
        <w:between w:val="nil"/>
        <w:bar w:val="nil"/>
      </w:pBdr>
      <w:ind w:left="357" w:hanging="357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EstilodeTabela1">
    <w:name w:val="Estilo de Tabela 1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EstilodeTabela2">
    <w:name w:val="Estilo de Tabela 2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4AEA-17CB-4064-B5EA-1C676930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2134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13635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subject/>
  <dc:creator>MILTON</dc:creator>
  <cp:keywords/>
  <cp:lastModifiedBy>Fernando Mousquer</cp:lastModifiedBy>
  <cp:revision>5</cp:revision>
  <cp:lastPrinted>2013-05-18T00:04:00Z</cp:lastPrinted>
  <dcterms:created xsi:type="dcterms:W3CDTF">2019-02-15T10:49:00Z</dcterms:created>
  <dcterms:modified xsi:type="dcterms:W3CDTF">2019-02-20T12:47:00Z</dcterms:modified>
</cp:coreProperties>
</file>