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68" w:rsidRDefault="00B31550" w:rsidP="00D92B82">
      <w:pPr>
        <w:jc w:val="center"/>
        <w:rPr>
          <w:b/>
          <w:sz w:val="24"/>
          <w:szCs w:val="24"/>
        </w:rPr>
      </w:pPr>
      <w:r>
        <w:rPr>
          <w:b/>
          <w:sz w:val="24"/>
          <w:szCs w:val="24"/>
        </w:rPr>
        <w:t>PLANO DE ENSINO</w:t>
      </w:r>
    </w:p>
    <w:p w:rsidR="00D92B82" w:rsidRDefault="00D92B82" w:rsidP="00D92B82">
      <w:pPr>
        <w:jc w:val="center"/>
        <w:rPr>
          <w:b/>
          <w:sz w:val="24"/>
          <w:szCs w:val="24"/>
        </w:rPr>
      </w:pPr>
    </w:p>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spacing w:line="360" w:lineRule="auto"/>
      </w:pPr>
      <w:r>
        <w:t>Curso: Engenharia Mecânica.</w:t>
      </w:r>
    </w:p>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spacing w:line="360" w:lineRule="auto"/>
      </w:pPr>
      <w:r>
        <w:t xml:space="preserve">Disciplina: Diversidade e Cidadania </w:t>
      </w:r>
    </w:p>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spacing w:line="360" w:lineRule="auto"/>
      </w:pPr>
      <w:r>
        <w:t>Turma</w:t>
      </w:r>
      <w:r w:rsidR="0090085F">
        <w:t>/Sala</w:t>
      </w:r>
      <w:r>
        <w:t>:</w:t>
      </w:r>
      <w:r w:rsidR="00090FA2">
        <w:t xml:space="preserve"> 2</w:t>
      </w:r>
    </w:p>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spacing w:line="360" w:lineRule="auto"/>
      </w:pPr>
      <w:r>
        <w:t>Professor(a): Rafael de Oliveira e Carla Melissa Barbosa</w:t>
      </w:r>
    </w:p>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spacing w:line="360" w:lineRule="auto"/>
      </w:pPr>
      <w:r>
        <w:t>Carga horária total: 30h.</w:t>
      </w:r>
    </w:p>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spacing w:line="360" w:lineRule="auto"/>
      </w:pPr>
      <w:r>
        <w:t>Ano/semestre: 2020/1.</w:t>
      </w:r>
    </w:p>
    <w:tbl>
      <w:tblPr>
        <w:tblStyle w:val="a"/>
        <w:tblW w:w="5000" w:type="pct"/>
        <w:tblInd w:w="0" w:type="dxa"/>
        <w:tblBorders>
          <w:top w:val="nil"/>
          <w:left w:val="nil"/>
          <w:bottom w:val="nil"/>
          <w:right w:val="nil"/>
          <w:insideH w:val="nil"/>
          <w:insideV w:val="nil"/>
        </w:tblBorders>
        <w:tblLook w:val="0600"/>
      </w:tblPr>
      <w:tblGrid>
        <w:gridCol w:w="9229"/>
      </w:tblGrid>
      <w:tr w:rsidR="00800568" w:rsidTr="00D92B82">
        <w:trPr>
          <w:trHeight w:val="2345"/>
        </w:trPr>
        <w:tc>
          <w:tcPr>
            <w:tcW w:w="5000" w:type="pct"/>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tcPr>
          <w:p w:rsidR="00800568" w:rsidRDefault="00B31550">
            <w:r>
              <w:tab/>
            </w:r>
            <w:r>
              <w:tab/>
            </w:r>
            <w:r>
              <w:tab/>
            </w:r>
          </w:p>
          <w:p w:rsidR="00800568" w:rsidRDefault="00B31550">
            <w:pPr>
              <w:numPr>
                <w:ilvl w:val="0"/>
                <w:numId w:val="1"/>
              </w:numPr>
              <w:spacing w:before="120"/>
              <w:jc w:val="both"/>
            </w:pPr>
            <w:r>
              <w:rPr>
                <w:b/>
              </w:rPr>
              <w:t>EMENTA:</w:t>
            </w:r>
            <w:r>
              <w:tab/>
            </w:r>
            <w:r>
              <w:tab/>
            </w:r>
          </w:p>
          <w:p w:rsidR="0090085F" w:rsidRDefault="00B31550">
            <w:pPr>
              <w:spacing w:before="120"/>
              <w:jc w:val="both"/>
            </w:pPr>
            <w:r>
              <w:t>A análise da cultura: relativismo e etnocentrismo cultural. A reflexão sobre preconceito e discriminação. O estudo sobre questões de gênero, raça e etnia. A problematização da hermenêutica filosófica e dos estudos culturais. A investigação sobre as desigualdades sociais e o mundo do trabalho na perspectiva racial e de gênero. A compreensão sobre as relações raciais no Brasil e as contribuições africana e indígena na formação brasileira. A discussão sobre movimentos sociais, políticas públicas e ações afirmativas.</w:t>
            </w:r>
          </w:p>
        </w:tc>
      </w:tr>
      <w:tr w:rsidR="0090085F" w:rsidTr="00D92B82">
        <w:trPr>
          <w:trHeight w:val="2345"/>
        </w:trPr>
        <w:tc>
          <w:tcPr>
            <w:tcW w:w="5000" w:type="pct"/>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tcPr>
          <w:p w:rsidR="00055949" w:rsidRPr="00055949" w:rsidRDefault="00055949" w:rsidP="00055949">
            <w:pPr>
              <w:pStyle w:val="PargrafodaLista"/>
              <w:numPr>
                <w:ilvl w:val="0"/>
                <w:numId w:val="1"/>
              </w:numPr>
              <w:rPr>
                <w:b/>
              </w:rPr>
            </w:pPr>
            <w:r w:rsidRPr="00055949">
              <w:rPr>
                <w:b/>
              </w:rPr>
              <w:t>OBJETIVOS:</w:t>
            </w:r>
          </w:p>
          <w:p w:rsidR="00055949" w:rsidRDefault="00055949" w:rsidP="00055949">
            <w:r>
              <w:tab/>
            </w:r>
            <w:r>
              <w:tab/>
            </w:r>
            <w:r>
              <w:tab/>
            </w:r>
          </w:p>
          <w:p w:rsidR="00055949" w:rsidRDefault="00055949" w:rsidP="00055949">
            <w:pPr>
              <w:spacing w:before="120"/>
              <w:jc w:val="both"/>
            </w:pPr>
            <w:r>
              <w:rPr>
                <w:b/>
              </w:rPr>
              <w:t>2.1. Objetivos Gerais:</w:t>
            </w:r>
            <w:r>
              <w:tab/>
            </w:r>
            <w:r>
              <w:tab/>
            </w:r>
          </w:p>
          <w:p w:rsidR="00055949" w:rsidRDefault="00055949" w:rsidP="00090FA2">
            <w:pPr>
              <w:numPr>
                <w:ilvl w:val="0"/>
                <w:numId w:val="4"/>
              </w:numPr>
              <w:spacing w:before="240"/>
              <w:jc w:val="both"/>
            </w:pPr>
            <w:r>
              <w:t xml:space="preserve">Compreender a dinâmica social como interação contínua de diferentes </w:t>
            </w:r>
            <w:r>
              <w:tab/>
              <w:t>aspectos: relações políticas, econômicas, culturais e etc.</w:t>
            </w:r>
            <w:r>
              <w:br/>
            </w:r>
            <w:r>
              <w:tab/>
            </w:r>
            <w:r>
              <w:tab/>
            </w:r>
            <w:r>
              <w:tab/>
            </w:r>
            <w:r>
              <w:tab/>
            </w:r>
          </w:p>
          <w:p w:rsidR="00055949" w:rsidRDefault="00055949" w:rsidP="00055949">
            <w:pPr>
              <w:numPr>
                <w:ilvl w:val="0"/>
                <w:numId w:val="4"/>
              </w:numPr>
            </w:pPr>
            <w:r>
              <w:t xml:space="preserve">Compreender a construção da democracia e da cidadania enquanto processo histórico. </w:t>
            </w:r>
            <w:r>
              <w:tab/>
            </w:r>
            <w:r>
              <w:tab/>
            </w:r>
            <w:r>
              <w:tab/>
            </w:r>
            <w:r>
              <w:tab/>
            </w:r>
            <w:r>
              <w:br/>
            </w:r>
            <w:r>
              <w:tab/>
            </w:r>
            <w:r>
              <w:tab/>
            </w:r>
            <w:r>
              <w:tab/>
            </w:r>
            <w:r>
              <w:tab/>
            </w:r>
          </w:p>
          <w:p w:rsidR="00055949" w:rsidRDefault="00055949" w:rsidP="00055949">
            <w:pPr>
              <w:numPr>
                <w:ilvl w:val="0"/>
                <w:numId w:val="4"/>
              </w:numPr>
              <w:spacing w:after="120"/>
              <w:ind w:left="714" w:hanging="357"/>
            </w:pPr>
            <w:r>
              <w:t xml:space="preserve">Demonstrar envolvimento com o componente curricular: participação, </w:t>
            </w:r>
            <w:r>
              <w:tab/>
              <w:t>dedicação, organização.</w:t>
            </w:r>
            <w:r>
              <w:br/>
            </w:r>
            <w:r>
              <w:tab/>
            </w:r>
            <w:r>
              <w:tab/>
            </w:r>
            <w:r>
              <w:tab/>
            </w:r>
          </w:p>
          <w:p w:rsidR="00055949" w:rsidRDefault="00055949" w:rsidP="00055949">
            <w:pPr>
              <w:spacing w:before="120"/>
              <w:jc w:val="both"/>
            </w:pPr>
            <w:r>
              <w:rPr>
                <w:b/>
              </w:rPr>
              <w:t>2.2. Objetivos Específicos:</w:t>
            </w:r>
          </w:p>
          <w:p w:rsidR="00055949" w:rsidRDefault="00055949" w:rsidP="00055949">
            <w:pPr>
              <w:numPr>
                <w:ilvl w:val="0"/>
                <w:numId w:val="8"/>
              </w:numPr>
              <w:spacing w:before="240"/>
            </w:pPr>
            <w:r>
              <w:rPr>
                <w:b/>
              </w:rPr>
              <w:t xml:space="preserve">1ª etapa: </w:t>
            </w:r>
            <w:r>
              <w:tab/>
            </w:r>
            <w:r>
              <w:tab/>
            </w:r>
            <w:r>
              <w:tab/>
            </w:r>
            <w:r>
              <w:tab/>
            </w:r>
            <w:r>
              <w:tab/>
            </w:r>
            <w:r>
              <w:tab/>
            </w:r>
          </w:p>
          <w:p w:rsidR="00055949" w:rsidRDefault="00055949" w:rsidP="00055949">
            <w:pPr>
              <w:numPr>
                <w:ilvl w:val="0"/>
                <w:numId w:val="3"/>
              </w:numPr>
            </w:pPr>
            <w:r>
              <w:t>Reconhecer e debater as contribuições do pensamento de</w:t>
            </w:r>
            <w:r w:rsidR="00090FA2">
              <w:t xml:space="preserve"> Karl</w:t>
            </w:r>
            <w:r>
              <w:t xml:space="preserve"> Marx e </w:t>
            </w:r>
            <w:r w:rsidR="00090FA2">
              <w:t xml:space="preserve">Max </w:t>
            </w:r>
            <w:r>
              <w:t>Weber para a compreensão do capitalismo e dos conflitos sociais de classe.</w:t>
            </w:r>
            <w:r>
              <w:tab/>
            </w:r>
          </w:p>
          <w:p w:rsidR="00055949" w:rsidRDefault="00055949" w:rsidP="00055949">
            <w:pPr>
              <w:numPr>
                <w:ilvl w:val="0"/>
                <w:numId w:val="3"/>
              </w:numPr>
              <w:spacing w:before="120" w:after="120"/>
              <w:ind w:left="714" w:hanging="357"/>
            </w:pPr>
            <w:r>
              <w:t>Compreender o papel das lutas de classes no desenvolvimento capitalista no Brasil.</w:t>
            </w:r>
            <w:r>
              <w:tab/>
            </w:r>
          </w:p>
          <w:p w:rsidR="00055949" w:rsidRDefault="00055949" w:rsidP="00055949">
            <w:pPr>
              <w:numPr>
                <w:ilvl w:val="0"/>
                <w:numId w:val="7"/>
              </w:numPr>
              <w:spacing w:before="240"/>
            </w:pPr>
            <w:r>
              <w:rPr>
                <w:b/>
              </w:rPr>
              <w:t>2ª etapa:</w:t>
            </w:r>
          </w:p>
          <w:p w:rsidR="00055949" w:rsidRDefault="00055949" w:rsidP="00055949">
            <w:pPr>
              <w:numPr>
                <w:ilvl w:val="0"/>
                <w:numId w:val="2"/>
              </w:numPr>
            </w:pPr>
            <w:r>
              <w:t>Compreender conceitos que balizam os debates em torno das questões de gênero e direitos humanos;</w:t>
            </w:r>
          </w:p>
          <w:p w:rsidR="00055949" w:rsidRDefault="00055949" w:rsidP="00055949">
            <w:pPr>
              <w:numPr>
                <w:ilvl w:val="0"/>
                <w:numId w:val="2"/>
              </w:numPr>
              <w:spacing w:before="120" w:after="120"/>
            </w:pPr>
            <w:r>
              <w:t xml:space="preserve">Conhecer o processo histórico das lutas sociais existentes em torno das questões de </w:t>
            </w:r>
            <w:r>
              <w:lastRenderedPageBreak/>
              <w:t>gênero e direitos humanos.</w:t>
            </w:r>
          </w:p>
          <w:p w:rsidR="00055949" w:rsidRDefault="00055949" w:rsidP="00055949">
            <w:pPr>
              <w:numPr>
                <w:ilvl w:val="0"/>
                <w:numId w:val="6"/>
              </w:numPr>
              <w:spacing w:before="240"/>
            </w:pPr>
            <w:r>
              <w:rPr>
                <w:b/>
              </w:rPr>
              <w:t>3ª etapa:</w:t>
            </w:r>
            <w:r>
              <w:tab/>
            </w:r>
            <w:r>
              <w:tab/>
            </w:r>
          </w:p>
          <w:p w:rsidR="00B31550" w:rsidRDefault="00055949" w:rsidP="00B31550">
            <w:pPr>
              <w:numPr>
                <w:ilvl w:val="0"/>
                <w:numId w:val="5"/>
              </w:numPr>
            </w:pPr>
            <w:r>
              <w:t>Compreender os conflitos e preconceitos de raça, cor e etnia nas suas dimensões sócio históricas;</w:t>
            </w:r>
          </w:p>
          <w:p w:rsidR="0090085F" w:rsidRDefault="00055949" w:rsidP="00B31550">
            <w:pPr>
              <w:numPr>
                <w:ilvl w:val="0"/>
                <w:numId w:val="5"/>
              </w:numPr>
            </w:pPr>
            <w:r>
              <w:t xml:space="preserve">Reconhecer </w:t>
            </w:r>
            <w:r>
              <w:tab/>
              <w:t>e debater as contribuições das culturas indígenas e africanas na construção da identidade brasileira.</w:t>
            </w:r>
          </w:p>
        </w:tc>
      </w:tr>
    </w:tbl>
    <w:tbl>
      <w:tblPr>
        <w:tblStyle w:val="a1"/>
        <w:tblW w:w="9030" w:type="dxa"/>
        <w:tblInd w:w="0" w:type="dxa"/>
        <w:tblBorders>
          <w:top w:val="nil"/>
          <w:left w:val="nil"/>
          <w:bottom w:val="nil"/>
          <w:right w:val="nil"/>
          <w:insideH w:val="nil"/>
          <w:insideV w:val="nil"/>
        </w:tblBorders>
        <w:tblLayout w:type="fixed"/>
        <w:tblLook w:val="0600"/>
      </w:tblPr>
      <w:tblGrid>
        <w:gridCol w:w="9030"/>
      </w:tblGrid>
      <w:tr w:rsidR="00800568">
        <w:trPr>
          <w:trHeight w:val="3650"/>
        </w:trPr>
        <w:tc>
          <w:tcPr>
            <w:tcW w:w="9030" w:type="dxa"/>
            <w:tcBorders>
              <w:top w:val="single" w:sz="6" w:space="0" w:color="00000A"/>
              <w:left w:val="single" w:sz="6" w:space="0" w:color="00000A"/>
              <w:bottom w:val="single" w:sz="6" w:space="0" w:color="00000A"/>
              <w:right w:val="single" w:sz="6" w:space="0" w:color="00000A"/>
            </w:tcBorders>
            <w:tcMar>
              <w:top w:w="100" w:type="dxa"/>
              <w:left w:w="100" w:type="dxa"/>
              <w:bottom w:w="100" w:type="dxa"/>
              <w:right w:w="100" w:type="dxa"/>
            </w:tcMar>
          </w:tcPr>
          <w:p w:rsidR="00800568" w:rsidRDefault="00B31550">
            <w:pPr>
              <w:rPr>
                <w:b/>
              </w:rPr>
            </w:pPr>
            <w:r>
              <w:rPr>
                <w:b/>
              </w:rPr>
              <w:lastRenderedPageBreak/>
              <w:t xml:space="preserve">3. CONTEÚDOS PROGRAMÁTICOS: </w:t>
            </w:r>
          </w:p>
          <w:p w:rsidR="00800568" w:rsidRDefault="00B31550">
            <w:pPr>
              <w:spacing w:before="240"/>
              <w:jc w:val="both"/>
            </w:pPr>
            <w:r>
              <w:t xml:space="preserve">UNIDADE I – Cultura e diversidade: 1.1 O conceito de cultura; 1.2 Etnocentrismo e relativismo cultural; 1.3 Preconceito e discriminação; 1.4 Estudos Culturais e a complexidade humana. </w:t>
            </w:r>
          </w:p>
          <w:p w:rsidR="00800568" w:rsidRDefault="00B31550">
            <w:pPr>
              <w:spacing w:before="240"/>
              <w:jc w:val="both"/>
            </w:pPr>
            <w:r>
              <w:t xml:space="preserve">UNIDADE II – Gênero, Raça e Etnia: 2.1 Gênero e diversidade sexual; 2.2 O conceito sociológico de raça e Etnicidade; 2.3 Dados sobre a desigualdade social em relação ao gênero e à raça; 2.4 Hermenêutica feminista e de gênero; 2.5 Gênero e Raça no mundo do trabalho. </w:t>
            </w:r>
          </w:p>
          <w:p w:rsidR="00800568" w:rsidRDefault="00B31550" w:rsidP="0090085F">
            <w:pPr>
              <w:spacing w:before="240"/>
              <w:jc w:val="both"/>
            </w:pPr>
            <w:r>
              <w:t xml:space="preserve">UNIDADE III – Democracia e Cidadania: Relações raciais no Brasil e a luta pelo respeito às diferenças e por Direitos Humanos: 3.1 O conceito filosófico de Cidadania e Democracia; 3.2. A formação do povo brasileiro e o mito das três raças; 3.3 A contribuição indígena e a contribuição africana; 3.4 As conquistas na Legislação e as </w:t>
            </w:r>
            <w:r>
              <w:tab/>
              <w:t>Políticas Públicas; 3.5 Direitos Humanos, os movimentos sociais e as ações afirmativas.</w:t>
            </w:r>
            <w:r>
              <w:tab/>
            </w:r>
            <w:r>
              <w:tab/>
            </w:r>
          </w:p>
        </w:tc>
      </w:tr>
    </w:tbl>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spacing w:before="240" w:after="120" w:line="240" w:lineRule="auto"/>
        <w:jc w:val="both"/>
      </w:pPr>
      <w:r>
        <w:rPr>
          <w:b/>
        </w:rPr>
        <w:t>4.PROCEDIMENTOS DIDÁTICOS:</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240" w:line="240" w:lineRule="auto"/>
        <w:jc w:val="both"/>
      </w:pPr>
      <w:r>
        <w:t xml:space="preserve">Visando atingir os objetivos propostos, as aulas serão ministradas de diferentes formas, de acordo com o objetivo traçado, o conteúdo a ser trabalhado, o tempo dedicado ao mesmo e as especificidades da turma. Aulas expositivo-dialogadas, seminários, debates, apresentação de trabalhos, jogos e/ou tarefas serão estratégias utilizadas para desenvolver a aprendizagem dos estudos. Diferentes recursos poderão ser utilizados para dinamizar as aulas: apresentação de vídeos e em </w:t>
      </w:r>
      <w:r w:rsidR="004E2117">
        <w:t>Datashow</w:t>
      </w:r>
      <w:r>
        <w:t>; leitura de textos. Será disponibilizado material de apoio específico em cada aula. Os horários de atendimento poderão ser combinados, considerando-se a necessidade e a disponibilidade de professor e alunos. Em cada aula os alunos terão em torno de 45min para leitura de textos de apoio e realização de atividades avaliativas.</w:t>
      </w:r>
    </w:p>
    <w:p w:rsidR="00800568" w:rsidRDefault="00B31550" w:rsidP="0090085F">
      <w:pPr>
        <w:pStyle w:val="Ttulo1"/>
        <w:keepNext w:val="0"/>
        <w:keepLines w:val="0"/>
        <w:pBdr>
          <w:top w:val="single" w:sz="6" w:space="0" w:color="00000A"/>
          <w:left w:val="single" w:sz="6" w:space="0" w:color="00000A"/>
          <w:bottom w:val="single" w:sz="6" w:space="0" w:color="00000A"/>
          <w:right w:val="single" w:sz="6" w:space="0" w:color="00000A"/>
          <w:between w:val="single" w:sz="6" w:space="0" w:color="00000A"/>
        </w:pBdr>
        <w:spacing w:before="120"/>
        <w:jc w:val="both"/>
        <w:rPr>
          <w:b/>
          <w:sz w:val="22"/>
          <w:szCs w:val="22"/>
        </w:rPr>
      </w:pPr>
      <w:bookmarkStart w:id="0" w:name="_x12ffflbvrjr" w:colFirst="0" w:colLast="0"/>
      <w:bookmarkEnd w:id="0"/>
      <w:r>
        <w:rPr>
          <w:b/>
          <w:sz w:val="22"/>
          <w:szCs w:val="22"/>
        </w:rPr>
        <w:t>5. PROCEDIMENTOS E CRITÉRIOS DE AVALIAÇÃO:</w:t>
      </w:r>
    </w:p>
    <w:p w:rsidR="0090085F" w:rsidRDefault="00B31550" w:rsidP="0090085F">
      <w:pPr>
        <w:pStyle w:val="Ttulo1"/>
        <w:keepNext w:val="0"/>
        <w:keepLines w:val="0"/>
        <w:pBdr>
          <w:top w:val="single" w:sz="6" w:space="0" w:color="00000A"/>
          <w:left w:val="single" w:sz="6" w:space="0" w:color="00000A"/>
          <w:bottom w:val="single" w:sz="6" w:space="0" w:color="00000A"/>
          <w:right w:val="single" w:sz="6" w:space="0" w:color="00000A"/>
          <w:between w:val="single" w:sz="6" w:space="0" w:color="00000A"/>
        </w:pBdr>
        <w:spacing w:before="480"/>
        <w:jc w:val="both"/>
        <w:rPr>
          <w:sz w:val="22"/>
          <w:szCs w:val="22"/>
        </w:rPr>
      </w:pPr>
      <w:bookmarkStart w:id="1" w:name="_cs9tdot0m6cc" w:colFirst="0" w:colLast="0"/>
      <w:bookmarkEnd w:id="1"/>
      <w:r>
        <w:rPr>
          <w:sz w:val="22"/>
          <w:szCs w:val="22"/>
        </w:rPr>
        <w:t xml:space="preserve">Constituir-se-á a avaliação de diferentes momentos/instrumentos: tarefas escritas realizadas em aula e seminário, os quais têm por objetivo oportunizar aos alunos a construção de conhecimentos novos, bem como a aferição de conhecimentos previamente construídos pelos alunos. Portanto, a avaliação terá um caráter mediador nesse processo e não de simples computação de resultados. </w:t>
      </w:r>
    </w:p>
    <w:p w:rsidR="00800568" w:rsidRPr="0090085F" w:rsidRDefault="00B31550" w:rsidP="0090085F">
      <w:pPr>
        <w:pStyle w:val="Ttulo1"/>
        <w:keepNext w:val="0"/>
        <w:keepLines w:val="0"/>
        <w:pBdr>
          <w:top w:val="single" w:sz="6" w:space="0" w:color="00000A"/>
          <w:left w:val="single" w:sz="6" w:space="0" w:color="00000A"/>
          <w:bottom w:val="single" w:sz="6" w:space="0" w:color="00000A"/>
          <w:right w:val="single" w:sz="6" w:space="0" w:color="00000A"/>
          <w:between w:val="single" w:sz="6" w:space="0" w:color="00000A"/>
        </w:pBdr>
        <w:spacing w:before="480"/>
        <w:jc w:val="both"/>
        <w:rPr>
          <w:sz w:val="22"/>
          <w:szCs w:val="22"/>
        </w:rPr>
      </w:pPr>
      <w:r w:rsidRPr="0090085F">
        <w:rPr>
          <w:sz w:val="22"/>
          <w:szCs w:val="22"/>
        </w:rPr>
        <w:lastRenderedPageBreak/>
        <w:t xml:space="preserve">Instrumentos de avaliação previstos: 1º)Tarefas de sistematização a serem realizadas ao longo de seis aulas com o peso de 1 ponto cada atividade, totalizando 6 pontos; 2º) Seminário: A ser realizado nas últimas aulas, com base em três textos que serão disponibilizados previamente, relacionados às temáticas desenvolvidas. Os alunos poderão se organizar em grupos para apresentação (sendo no máximo de 3 alunos por texto). O seminário será avaliado através da apresentação oral (2 pontos) e da entrega de um texto (2 pontos), sendo que a apresentação pode ser realizada em grupo e o texto deve ser uma redação individual. </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240" w:line="240" w:lineRule="auto"/>
        <w:jc w:val="both"/>
      </w:pPr>
      <w:r>
        <w:rPr>
          <w:b/>
        </w:rPr>
        <w:t xml:space="preserve">Obs.: </w:t>
      </w:r>
      <w:r>
        <w:t>Nas avaliações serão considerados os conhecimentos desenvolvidos até então, bem como o desenvolvimento argumentativo em se tratando de questões dissertativas; quando de exposições e apresentações de trabalhos, serão critérios considerados para fins de avaliação a clareza na apresentação (visual e oral), o domínio do conteúdo e a problematização do tema.</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line="240" w:lineRule="auto"/>
        <w:jc w:val="both"/>
      </w:pPr>
      <w:r>
        <w:t>* O aluno terá direito a duas recuperações: 1) Entrega de um trabalho (no mínimo 10 páginas) na última aula; 2) Realização de uma prova abrangendo todo o conteúdo da disciplina (sem consulta) na data da última aula.</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line="240" w:lineRule="auto"/>
        <w:jc w:val="both"/>
      </w:pPr>
      <w:r>
        <w:rPr>
          <w:b/>
          <w:u w:val="single"/>
        </w:rPr>
        <w:t>Observação:</w:t>
      </w:r>
      <w:r>
        <w:t xml:space="preserve"> Demais ausências deverão ser justificadas na CORAC no </w:t>
      </w:r>
      <w:r>
        <w:rPr>
          <w:b/>
          <w:u w:val="single"/>
        </w:rPr>
        <w:t>prazo de até 02 (dois) dias úteis após a data de término da ausência.</w:t>
      </w:r>
      <w:r>
        <w:t>Pedidos posteriores a este prazo não serão considerados.</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line="240" w:lineRule="auto"/>
        <w:jc w:val="both"/>
      </w:pPr>
      <w:r>
        <w:rPr>
          <w:b/>
          <w:i/>
        </w:rPr>
        <w:t xml:space="preserve">Legislação – Justificativa da Falta: </w:t>
      </w:r>
      <w:r>
        <w:t xml:space="preserve">- </w:t>
      </w:r>
      <w:r>
        <w:rPr>
          <w:i/>
        </w:rPr>
        <w:t>Decreto-Lei 715-69</w:t>
      </w:r>
      <w:r>
        <w:t xml:space="preserve"> - relativo à prestação do Serviço Militar (Exército, Marinha e Aeronáutica); - </w:t>
      </w:r>
      <w:r>
        <w:rPr>
          <w:i/>
        </w:rPr>
        <w:t>Lei 9.615/98</w:t>
      </w:r>
      <w:r>
        <w:t xml:space="preserve"> - participação do aluno em competições esportivas institucionais de cunho oficial representando o País; - </w:t>
      </w:r>
      <w:r>
        <w:rPr>
          <w:i/>
        </w:rPr>
        <w:t>Lei 5.869/79</w:t>
      </w:r>
      <w:r>
        <w:t xml:space="preserve"> - convocação para audiência judicial.</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line="240" w:lineRule="auto"/>
        <w:jc w:val="both"/>
        <w:rPr>
          <w:b/>
          <w:i/>
        </w:rPr>
      </w:pPr>
      <w:r>
        <w:rPr>
          <w:b/>
          <w:i/>
        </w:rPr>
        <w:t>Legislação – Ausência Autorizada (Exercícios Domiciliares)</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line="240" w:lineRule="auto"/>
        <w:jc w:val="both"/>
      </w:pPr>
      <w:r>
        <w:t xml:space="preserve">- </w:t>
      </w:r>
      <w:r>
        <w:rPr>
          <w:i/>
        </w:rPr>
        <w:t>Decreto-Lei 1,044/69</w:t>
      </w:r>
      <w:r>
        <w:t xml:space="preserve"> - dispõe sobre tratamento excepcional para os alunos portadores de afecções que indica; - </w:t>
      </w:r>
      <w:r>
        <w:rPr>
          <w:i/>
        </w:rPr>
        <w:t>Lei 6.202/75</w:t>
      </w:r>
      <w:r>
        <w:t xml:space="preserve"> - amparo a gestação, parto ou puerpério; - </w:t>
      </w:r>
      <w:r>
        <w:rPr>
          <w:i/>
        </w:rPr>
        <w:t>Decreto-Lei 57.654/66</w:t>
      </w:r>
      <w:r>
        <w:t xml:space="preserve"> - lei do Serviço Militar (período longo de afastamento); - </w:t>
      </w:r>
      <w:r>
        <w:rPr>
          <w:i/>
        </w:rPr>
        <w:t>Lei 10.412</w:t>
      </w:r>
      <w:r>
        <w:t xml:space="preserve"> - às mães adotivas em licença-maternidade.</w:t>
      </w:r>
    </w:p>
    <w:p w:rsidR="00800568" w:rsidRPr="0090085F" w:rsidRDefault="0090085F" w:rsidP="0090085F">
      <w:pPr>
        <w:pBdr>
          <w:top w:val="single" w:sz="6" w:space="0" w:color="00000A"/>
          <w:left w:val="single" w:sz="6" w:space="0" w:color="00000A"/>
          <w:bottom w:val="single" w:sz="6" w:space="0" w:color="00000A"/>
          <w:right w:val="single" w:sz="6" w:space="0" w:color="00000A"/>
          <w:between w:val="single" w:sz="6" w:space="0" w:color="00000A"/>
        </w:pBdr>
        <w:spacing w:before="120" w:after="120"/>
        <w:jc w:val="both"/>
        <w:rPr>
          <w:b/>
        </w:rPr>
      </w:pPr>
      <w:r w:rsidRPr="0090085F">
        <w:rPr>
          <w:b/>
        </w:rPr>
        <w:t>6. BIBLIOGRAF</w:t>
      </w:r>
      <w:r>
        <w:rPr>
          <w:b/>
        </w:rPr>
        <w:t>I</w:t>
      </w:r>
      <w:r w:rsidRPr="0090085F">
        <w:rPr>
          <w:b/>
        </w:rPr>
        <w:t>A BÁSICA:</w:t>
      </w:r>
    </w:p>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jc w:val="both"/>
      </w:pPr>
      <w:r>
        <w:t xml:space="preserve">DIMENSTEIN, G.; PINHEIRO, P. S. </w:t>
      </w:r>
      <w:r>
        <w:rPr>
          <w:b/>
        </w:rPr>
        <w:t>A democracia em pedaços</w:t>
      </w:r>
      <w:r>
        <w:t>: Direitos Humanos no Brasil. São Paulo: Companhia das Letras, 1996.</w:t>
      </w:r>
    </w:p>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jc w:val="both"/>
      </w:pPr>
      <w:r>
        <w:t xml:space="preserve">HASENBALG, C. A. </w:t>
      </w:r>
      <w:r>
        <w:rPr>
          <w:b/>
        </w:rPr>
        <w:t>Discriminação e desigualdades raciais no Brasil</w:t>
      </w:r>
      <w:r>
        <w:t>. Rio de Janeiro: Graal, 2005.</w:t>
      </w:r>
    </w:p>
    <w:p w:rsidR="00800568" w:rsidRDefault="00B31550" w:rsidP="0090085F">
      <w:pPr>
        <w:pBdr>
          <w:top w:val="single" w:sz="6" w:space="0" w:color="00000A"/>
          <w:left w:val="single" w:sz="6" w:space="0" w:color="00000A"/>
          <w:bottom w:val="single" w:sz="6" w:space="0" w:color="00000A"/>
          <w:right w:val="single" w:sz="6" w:space="0" w:color="00000A"/>
          <w:between w:val="single" w:sz="6" w:space="0" w:color="00000A"/>
        </w:pBdr>
        <w:jc w:val="both"/>
      </w:pPr>
      <w:r>
        <w:t xml:space="preserve">MINISTÉRIO DA EDUCAÇÃO, SECRETARIA DE EDUCAÇÃO CONTINUADA, ALFABETIZAÇÃO E DIVERSIDADE. </w:t>
      </w:r>
      <w:r>
        <w:rPr>
          <w:b/>
        </w:rPr>
        <w:t xml:space="preserve">Educação </w:t>
      </w:r>
      <w:proofErr w:type="spellStart"/>
      <w:r>
        <w:rPr>
          <w:b/>
        </w:rPr>
        <w:t>anti-racista</w:t>
      </w:r>
      <w:proofErr w:type="spellEnd"/>
      <w:r>
        <w:t>: caminhos abertos da Lei Federal nº 10.639/03. Coleção Educação para todos, Brasil, 2005.</w:t>
      </w:r>
    </w:p>
    <w:p w:rsidR="00800568" w:rsidRDefault="0090085F">
      <w:pPr>
        <w:pBdr>
          <w:top w:val="single" w:sz="6" w:space="0" w:color="00000A"/>
          <w:left w:val="single" w:sz="6" w:space="0" w:color="00000A"/>
          <w:bottom w:val="single" w:sz="6" w:space="0" w:color="00000A"/>
          <w:right w:val="single" w:sz="6" w:space="0" w:color="00000A"/>
          <w:between w:val="single" w:sz="6" w:space="0" w:color="00000A"/>
        </w:pBdr>
        <w:spacing w:before="120"/>
        <w:jc w:val="both"/>
        <w:rPr>
          <w:b/>
        </w:rPr>
      </w:pPr>
      <w:r>
        <w:rPr>
          <w:b/>
        </w:rPr>
        <w:t>7. BIBLIOGRAFIA COMPLEMENTAR:</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 xml:space="preserve">COVRE, M. de L. </w:t>
      </w:r>
      <w:r>
        <w:rPr>
          <w:b/>
        </w:rPr>
        <w:t>O que é Cidadania</w:t>
      </w:r>
      <w:r>
        <w:t>. São Paulo: Brasiliense, 1994.</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 xml:space="preserve">MARCÍLIO, M. L.; PUSSOLI, L. (Coord.). </w:t>
      </w:r>
      <w:r w:rsidR="0090085F">
        <w:rPr>
          <w:b/>
        </w:rPr>
        <w:t>Cultura e Direitos humanos</w:t>
      </w:r>
      <w:r>
        <w:t>. São Paulo: LTR, 1998.</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 xml:space="preserve">SANTOS, M. </w:t>
      </w:r>
      <w:r>
        <w:rPr>
          <w:b/>
        </w:rPr>
        <w:t>O espaço do cidadão</w:t>
      </w:r>
      <w:r>
        <w:t>. São Paulo: Nobel, 1992.</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 xml:space="preserve">SANTOS, S. A. dos (Org.). </w:t>
      </w:r>
      <w:r>
        <w:rPr>
          <w:b/>
        </w:rPr>
        <w:t xml:space="preserve">Ações afirmativas e combate ao racismo nas Américas. </w:t>
      </w:r>
      <w:r>
        <w:t>Coleção: Educação para todos. Brasília: Ministério da Educação, Secretaria de educação continuada, alfabetização e Diversidade, 2005.</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lastRenderedPageBreak/>
        <w:t xml:space="preserve">SILVA, P. B. G.; SILVÉRIO, V. R. </w:t>
      </w:r>
      <w:r>
        <w:rPr>
          <w:b/>
        </w:rPr>
        <w:t xml:space="preserve">Educação e ações afirmativas: </w:t>
      </w:r>
      <w:r>
        <w:t>entre a injustiça simbólica e a injustiça econômica. Brasília: INEP, 2003.</w:t>
      </w:r>
    </w:p>
    <w:p w:rsidR="00800568" w:rsidRPr="0090085F" w:rsidRDefault="00B31550">
      <w:pPr>
        <w:spacing w:before="240"/>
        <w:jc w:val="center"/>
        <w:rPr>
          <w:b/>
          <w:sz w:val="24"/>
          <w:szCs w:val="24"/>
        </w:rPr>
      </w:pPr>
      <w:r w:rsidRPr="0090085F">
        <w:rPr>
          <w:b/>
          <w:sz w:val="24"/>
          <w:szCs w:val="24"/>
        </w:rPr>
        <w:t>CRONOGRAMA</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240"/>
        <w:jc w:val="center"/>
        <w:rPr>
          <w:b/>
        </w:rPr>
      </w:pPr>
      <w:r>
        <w:rPr>
          <w:b/>
        </w:rPr>
        <w:t>INSTITUTO FEDERAL SUL-RIO-GRANDENSE</w:t>
      </w:r>
    </w:p>
    <w:p w:rsidR="00800568" w:rsidRDefault="00B31550">
      <w:pPr>
        <w:pBdr>
          <w:top w:val="single" w:sz="6" w:space="0" w:color="00000A"/>
          <w:left w:val="single" w:sz="6" w:space="0" w:color="00000A"/>
          <w:bottom w:val="single" w:sz="6" w:space="0" w:color="00000A"/>
          <w:right w:val="single" w:sz="6" w:space="0" w:color="00000A"/>
          <w:between w:val="single" w:sz="6" w:space="0" w:color="00000A"/>
        </w:pBdr>
        <w:spacing w:before="240"/>
        <w:jc w:val="center"/>
        <w:rPr>
          <w:b/>
        </w:rPr>
      </w:pPr>
      <w:r>
        <w:rPr>
          <w:b/>
        </w:rPr>
        <w:t>CAMPUS SAPUCAIA DO SUL</w:t>
      </w:r>
    </w:p>
    <w:p w:rsidR="00800568" w:rsidRDefault="00B31550" w:rsidP="00055949">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Curso: Engenharia Mecânica.</w:t>
      </w:r>
    </w:p>
    <w:p w:rsidR="00800568" w:rsidRDefault="00B31550" w:rsidP="00055949">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Disciplina: Diversidade e Cidadania</w:t>
      </w:r>
    </w:p>
    <w:p w:rsidR="00800568" w:rsidRDefault="00B31550" w:rsidP="00055949">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Professor(a): Rafael de Oliveira e Carla Melissa Barbosa</w:t>
      </w:r>
    </w:p>
    <w:p w:rsidR="00800568" w:rsidRDefault="00B31550" w:rsidP="00055949">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Ano/semestre: 2020/01</w:t>
      </w:r>
    </w:p>
    <w:p w:rsidR="00800568" w:rsidRDefault="00B31550" w:rsidP="00055949">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Turma: Diversidade e Cidadania, Turma de Verão I</w:t>
      </w:r>
    </w:p>
    <w:p w:rsidR="00800568" w:rsidRDefault="00B31550" w:rsidP="00055949">
      <w:pPr>
        <w:pBdr>
          <w:top w:val="single" w:sz="6" w:space="0" w:color="00000A"/>
          <w:left w:val="single" w:sz="6" w:space="0" w:color="00000A"/>
          <w:bottom w:val="single" w:sz="6" w:space="0" w:color="00000A"/>
          <w:right w:val="single" w:sz="6" w:space="0" w:color="00000A"/>
          <w:between w:val="single" w:sz="6" w:space="0" w:color="00000A"/>
        </w:pBdr>
        <w:spacing w:before="120"/>
        <w:jc w:val="both"/>
      </w:pPr>
      <w:r>
        <w:t xml:space="preserve">Email: </w:t>
      </w:r>
      <w:hyperlink r:id="rId5" w:history="1">
        <w:r w:rsidRPr="004848C1">
          <w:rPr>
            <w:rStyle w:val="Hyperlink"/>
          </w:rPr>
          <w:t>rafaeloliveira@sapucaia.ifsul.edu.br</w:t>
        </w:r>
      </w:hyperlink>
      <w:r w:rsidR="00862A12">
        <w:t xml:space="preserve"> </w:t>
      </w:r>
      <w:r w:rsidR="001C25E6">
        <w:fldChar w:fldCharType="begin"/>
      </w:r>
      <w:r w:rsidR="001C25E6">
        <w:instrText>HYPERLINK "mailto:carlabarbosa@sapucaia.ifsul.edu.br"</w:instrText>
      </w:r>
      <w:r w:rsidR="001C25E6">
        <w:fldChar w:fldCharType="separate"/>
      </w:r>
      <w:r w:rsidRPr="004848C1">
        <w:rPr>
          <w:rStyle w:val="Hyperlink"/>
        </w:rPr>
        <w:t>carlabarbosa@sapucaia.ifsul.edu.br</w:t>
      </w:r>
      <w:r w:rsidR="001C25E6">
        <w:fldChar w:fldCharType="end"/>
      </w:r>
    </w:p>
    <w:p w:rsidR="00B31550" w:rsidRDefault="00B31550" w:rsidP="00055949">
      <w:pPr>
        <w:pBdr>
          <w:top w:val="single" w:sz="6" w:space="0" w:color="00000A"/>
          <w:left w:val="single" w:sz="6" w:space="0" w:color="00000A"/>
          <w:bottom w:val="single" w:sz="6" w:space="0" w:color="00000A"/>
          <w:right w:val="single" w:sz="6" w:space="0" w:color="00000A"/>
          <w:between w:val="single" w:sz="6" w:space="0" w:color="00000A"/>
        </w:pBdr>
        <w:spacing w:before="120"/>
        <w:jc w:val="both"/>
      </w:pPr>
    </w:p>
    <w:tbl>
      <w:tblPr>
        <w:tblStyle w:val="a2"/>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440"/>
        <w:gridCol w:w="751"/>
        <w:gridCol w:w="8038"/>
      </w:tblGrid>
      <w:tr w:rsidR="00D92B82" w:rsidTr="000A4DB7">
        <w:tc>
          <w:tcPr>
            <w:tcW w:w="0" w:type="auto"/>
            <w:gridSpan w:val="3"/>
            <w:shd w:val="clear" w:color="auto" w:fill="auto"/>
            <w:tcMar>
              <w:top w:w="100" w:type="dxa"/>
              <w:left w:w="100" w:type="dxa"/>
              <w:bottom w:w="100" w:type="dxa"/>
              <w:right w:w="100" w:type="dxa"/>
            </w:tcMar>
          </w:tcPr>
          <w:p w:rsidR="00D92B82" w:rsidRDefault="00D92B82" w:rsidP="0090085F">
            <w:pPr>
              <w:spacing w:line="240" w:lineRule="auto"/>
              <w:jc w:val="center"/>
              <w:rPr>
                <w:b/>
              </w:rPr>
            </w:pPr>
            <w:r>
              <w:rPr>
                <w:b/>
              </w:rPr>
              <w:t>CRONOGRAMA</w:t>
            </w:r>
          </w:p>
        </w:tc>
      </w:tr>
      <w:tr w:rsidR="00D92B82" w:rsidTr="00D92B82">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rPr>
                <w:b/>
              </w:rPr>
            </w:pPr>
            <w:r>
              <w:rPr>
                <w:b/>
              </w:rPr>
              <w:t>Nº</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rPr>
                <w:b/>
              </w:rPr>
            </w:pPr>
            <w:r>
              <w:rPr>
                <w:b/>
              </w:rPr>
              <w:t>Data</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jc w:val="center"/>
              <w:rPr>
                <w:b/>
              </w:rPr>
            </w:pPr>
            <w:r>
              <w:rPr>
                <w:b/>
              </w:rPr>
              <w:t>AULA</w:t>
            </w:r>
          </w:p>
        </w:tc>
      </w:tr>
      <w:tr w:rsidR="00D92B82" w:rsidTr="00D92B82">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rPr>
                <w:b/>
              </w:rPr>
            </w:pPr>
            <w:r>
              <w:rPr>
                <w:b/>
              </w:rPr>
              <w:t>1</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06/01</w:t>
            </w:r>
          </w:p>
        </w:tc>
        <w:tc>
          <w:tcPr>
            <w:tcW w:w="0" w:type="auto"/>
            <w:shd w:val="clear" w:color="auto" w:fill="auto"/>
            <w:tcMar>
              <w:top w:w="100" w:type="dxa"/>
              <w:left w:w="100" w:type="dxa"/>
              <w:bottom w:w="100" w:type="dxa"/>
              <w:right w:w="100" w:type="dxa"/>
            </w:tcMar>
          </w:tcPr>
          <w:p w:rsidR="00D92B82" w:rsidRDefault="00D92B82" w:rsidP="0090085F">
            <w:pPr>
              <w:spacing w:line="240" w:lineRule="auto"/>
            </w:pPr>
            <w:r>
              <w:t xml:space="preserve">Reconhecimento dos saberes </w:t>
            </w:r>
            <w:proofErr w:type="spellStart"/>
            <w:r>
              <w:t>pŕevios</w:t>
            </w:r>
            <w:proofErr w:type="spellEnd"/>
            <w:r>
              <w:t xml:space="preserve"> da turma; apresentação do plano de ensino e dos conceitos básicos da disciplina.</w:t>
            </w:r>
          </w:p>
        </w:tc>
      </w:tr>
      <w:tr w:rsidR="00D92B82" w:rsidTr="00D92B82">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rPr>
                <w:b/>
              </w:rPr>
            </w:pPr>
            <w:r>
              <w:rPr>
                <w:b/>
              </w:rPr>
              <w:t>2</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07/01</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As lutas de classes e a formação do capitalismo no Brasil;</w:t>
            </w:r>
          </w:p>
          <w:p w:rsidR="00D92B82" w:rsidRDefault="00D92B82" w:rsidP="0090085F">
            <w:pPr>
              <w:widowControl w:val="0"/>
              <w:pBdr>
                <w:top w:val="nil"/>
                <w:left w:val="nil"/>
                <w:bottom w:val="nil"/>
                <w:right w:val="nil"/>
                <w:between w:val="nil"/>
              </w:pBdr>
              <w:spacing w:line="240" w:lineRule="auto"/>
            </w:pPr>
            <w:r>
              <w:t>Atividade escrita (1,0).</w:t>
            </w:r>
          </w:p>
        </w:tc>
      </w:tr>
      <w:tr w:rsidR="00D92B82" w:rsidTr="00D92B82">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rPr>
                <w:b/>
              </w:rPr>
            </w:pPr>
            <w:r>
              <w:rPr>
                <w:b/>
              </w:rPr>
              <w:t>3</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08/01</w:t>
            </w:r>
          </w:p>
        </w:tc>
        <w:tc>
          <w:tcPr>
            <w:tcW w:w="0" w:type="auto"/>
            <w:tcBorders>
              <w:bottom w:val="single" w:sz="4" w:space="0" w:color="000000"/>
            </w:tcBorders>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Karl Marx e Max Weber, capitalismo e classes sociais;</w:t>
            </w:r>
          </w:p>
          <w:p w:rsidR="00D92B82" w:rsidRDefault="00D92B82" w:rsidP="0090085F">
            <w:pPr>
              <w:widowControl w:val="0"/>
              <w:spacing w:line="240" w:lineRule="auto"/>
            </w:pPr>
            <w:r>
              <w:t>Atividade escrita (1,0).</w:t>
            </w:r>
          </w:p>
        </w:tc>
      </w:tr>
      <w:tr w:rsidR="00D92B82" w:rsidTr="00D92B82">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rPr>
                <w:b/>
              </w:rPr>
            </w:pPr>
            <w:r>
              <w:rPr>
                <w:b/>
              </w:rPr>
              <w:t>4</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09/01</w:t>
            </w:r>
          </w:p>
        </w:tc>
        <w:tc>
          <w:tcPr>
            <w:tcW w:w="0" w:type="auto"/>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92B82" w:rsidRDefault="00D92B82" w:rsidP="0090085F">
            <w:pPr>
              <w:widowControl w:val="0"/>
              <w:spacing w:line="240" w:lineRule="auto"/>
            </w:pPr>
            <w:r>
              <w:t>Conceitos que balizam os debates em torno da questão de Gênero e direitos humanos.</w:t>
            </w:r>
          </w:p>
          <w:p w:rsidR="00D92B82" w:rsidRDefault="00D92B82" w:rsidP="0090085F">
            <w:pPr>
              <w:widowControl w:val="0"/>
              <w:spacing w:line="240" w:lineRule="auto"/>
            </w:pPr>
            <w:r>
              <w:t>Atividade escrita (1,0).</w:t>
            </w:r>
            <w:r>
              <w:tab/>
            </w:r>
            <w:r>
              <w:tab/>
            </w:r>
          </w:p>
        </w:tc>
      </w:tr>
      <w:tr w:rsidR="00D92B82" w:rsidTr="00D92B82">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rPr>
                <w:b/>
              </w:rPr>
            </w:pPr>
            <w:r>
              <w:rPr>
                <w:b/>
              </w:rPr>
              <w:t>5</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10/01</w:t>
            </w:r>
          </w:p>
        </w:tc>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92B82" w:rsidRDefault="00D92B82" w:rsidP="0090085F">
            <w:pPr>
              <w:widowControl w:val="0"/>
              <w:spacing w:line="240" w:lineRule="auto"/>
            </w:pPr>
            <w:r>
              <w:t>História das lutas sociais de</w:t>
            </w:r>
            <w:bookmarkStart w:id="2" w:name="_GoBack"/>
            <w:bookmarkEnd w:id="2"/>
            <w:r>
              <w:t xml:space="preserve"> gênero e direitos humanos;</w:t>
            </w:r>
          </w:p>
          <w:p w:rsidR="00D92B82" w:rsidRDefault="00D92B82" w:rsidP="0090085F">
            <w:pPr>
              <w:widowControl w:val="0"/>
              <w:spacing w:line="240" w:lineRule="auto"/>
            </w:pPr>
            <w:r>
              <w:t>Atividade escrita (1,0).</w:t>
            </w:r>
          </w:p>
        </w:tc>
      </w:tr>
      <w:tr w:rsidR="00D92B82" w:rsidTr="00D92B82">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rPr>
                <w:b/>
              </w:rPr>
            </w:pPr>
            <w:r>
              <w:rPr>
                <w:b/>
              </w:rPr>
              <w:t>6</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13/01</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Conflitos e preconceitos de raça, cor e etnia no Brasil;</w:t>
            </w:r>
          </w:p>
          <w:p w:rsidR="00D92B82" w:rsidRDefault="00D92B82" w:rsidP="0090085F">
            <w:pPr>
              <w:widowControl w:val="0"/>
              <w:pBdr>
                <w:top w:val="nil"/>
                <w:left w:val="nil"/>
                <w:bottom w:val="nil"/>
                <w:right w:val="nil"/>
                <w:between w:val="nil"/>
              </w:pBdr>
              <w:spacing w:line="240" w:lineRule="auto"/>
            </w:pPr>
            <w:r>
              <w:t>Atividade escrita (1,0).</w:t>
            </w:r>
          </w:p>
        </w:tc>
      </w:tr>
      <w:tr w:rsidR="00D92B82" w:rsidTr="00D92B82">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rPr>
                <w:b/>
              </w:rPr>
            </w:pPr>
            <w:r>
              <w:rPr>
                <w:b/>
              </w:rPr>
              <w:t>7</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14/01</w:t>
            </w:r>
          </w:p>
        </w:tc>
        <w:tc>
          <w:tcPr>
            <w:tcW w:w="0" w:type="auto"/>
            <w:shd w:val="clear" w:color="auto" w:fill="auto"/>
            <w:tcMar>
              <w:top w:w="100" w:type="dxa"/>
              <w:left w:w="100" w:type="dxa"/>
              <w:bottom w:w="100" w:type="dxa"/>
              <w:right w:w="100" w:type="dxa"/>
            </w:tcMar>
          </w:tcPr>
          <w:p w:rsidR="00D92B82" w:rsidRDefault="00D92B82" w:rsidP="0090085F">
            <w:pPr>
              <w:widowControl w:val="0"/>
              <w:pBdr>
                <w:top w:val="nil"/>
                <w:left w:val="nil"/>
                <w:bottom w:val="nil"/>
                <w:right w:val="nil"/>
                <w:between w:val="nil"/>
              </w:pBdr>
              <w:spacing w:line="240" w:lineRule="auto"/>
            </w:pPr>
            <w:r>
              <w:t>Conhecer as contribuições das culturas indígenas e africanas na construção da identidade brasileira.</w:t>
            </w:r>
          </w:p>
          <w:p w:rsidR="00D92B82" w:rsidRDefault="00D92B82" w:rsidP="0090085F">
            <w:pPr>
              <w:widowControl w:val="0"/>
              <w:pBdr>
                <w:top w:val="nil"/>
                <w:left w:val="nil"/>
                <w:bottom w:val="nil"/>
                <w:right w:val="nil"/>
                <w:between w:val="nil"/>
              </w:pBdr>
              <w:spacing w:line="240" w:lineRule="auto"/>
            </w:pPr>
            <w:r>
              <w:t>Atividade escrita (1,0)</w:t>
            </w:r>
          </w:p>
        </w:tc>
      </w:tr>
      <w:tr w:rsidR="00C557EE" w:rsidTr="00D92B82">
        <w:tc>
          <w:tcPr>
            <w:tcW w:w="0" w:type="auto"/>
            <w:shd w:val="clear" w:color="auto" w:fill="auto"/>
            <w:tcMar>
              <w:top w:w="100" w:type="dxa"/>
              <w:left w:w="100" w:type="dxa"/>
              <w:bottom w:w="100" w:type="dxa"/>
              <w:right w:w="100" w:type="dxa"/>
            </w:tcMar>
          </w:tcPr>
          <w:p w:rsidR="00C557EE" w:rsidRDefault="00C557EE" w:rsidP="00C557EE">
            <w:pPr>
              <w:widowControl w:val="0"/>
              <w:pBdr>
                <w:top w:val="nil"/>
                <w:left w:val="nil"/>
                <w:bottom w:val="nil"/>
                <w:right w:val="nil"/>
                <w:between w:val="nil"/>
              </w:pBdr>
              <w:spacing w:line="240" w:lineRule="auto"/>
              <w:rPr>
                <w:b/>
              </w:rPr>
            </w:pPr>
            <w:r>
              <w:rPr>
                <w:b/>
              </w:rPr>
              <w:t>8</w:t>
            </w:r>
          </w:p>
        </w:tc>
        <w:tc>
          <w:tcPr>
            <w:tcW w:w="0" w:type="auto"/>
            <w:shd w:val="clear" w:color="auto" w:fill="auto"/>
            <w:tcMar>
              <w:top w:w="100" w:type="dxa"/>
              <w:left w:w="100" w:type="dxa"/>
              <w:bottom w:w="100" w:type="dxa"/>
              <w:right w:w="100" w:type="dxa"/>
            </w:tcMar>
          </w:tcPr>
          <w:p w:rsidR="00C557EE" w:rsidRDefault="00C557EE" w:rsidP="00C557EE">
            <w:pPr>
              <w:widowControl w:val="0"/>
              <w:pBdr>
                <w:top w:val="nil"/>
                <w:left w:val="nil"/>
                <w:bottom w:val="nil"/>
                <w:right w:val="nil"/>
                <w:between w:val="nil"/>
              </w:pBdr>
              <w:spacing w:line="240" w:lineRule="auto"/>
            </w:pPr>
            <w:r>
              <w:t>15/01</w:t>
            </w:r>
          </w:p>
        </w:tc>
        <w:tc>
          <w:tcPr>
            <w:tcW w:w="0" w:type="auto"/>
            <w:shd w:val="clear" w:color="auto" w:fill="auto"/>
            <w:tcMar>
              <w:top w:w="100" w:type="dxa"/>
              <w:left w:w="100" w:type="dxa"/>
              <w:bottom w:w="100" w:type="dxa"/>
              <w:right w:w="100" w:type="dxa"/>
            </w:tcMar>
          </w:tcPr>
          <w:p w:rsidR="00C557EE" w:rsidRDefault="00C557EE" w:rsidP="00C557EE">
            <w:pPr>
              <w:spacing w:line="240" w:lineRule="auto"/>
            </w:pPr>
            <w:r>
              <w:t>Seminário: classe, gênero, raça e direitos humanos</w:t>
            </w:r>
          </w:p>
        </w:tc>
      </w:tr>
      <w:tr w:rsidR="00C557EE" w:rsidTr="00D92B82">
        <w:tc>
          <w:tcPr>
            <w:tcW w:w="0" w:type="auto"/>
            <w:shd w:val="clear" w:color="auto" w:fill="auto"/>
            <w:tcMar>
              <w:top w:w="100" w:type="dxa"/>
              <w:left w:w="100" w:type="dxa"/>
              <w:bottom w:w="100" w:type="dxa"/>
              <w:right w:w="100" w:type="dxa"/>
            </w:tcMar>
          </w:tcPr>
          <w:p w:rsidR="00C557EE" w:rsidRDefault="00C557EE" w:rsidP="00C557EE">
            <w:pPr>
              <w:widowControl w:val="0"/>
              <w:pBdr>
                <w:top w:val="nil"/>
                <w:left w:val="nil"/>
                <w:bottom w:val="nil"/>
                <w:right w:val="nil"/>
                <w:between w:val="nil"/>
              </w:pBdr>
              <w:spacing w:line="240" w:lineRule="auto"/>
              <w:rPr>
                <w:b/>
              </w:rPr>
            </w:pPr>
            <w:r>
              <w:rPr>
                <w:b/>
              </w:rPr>
              <w:t>9</w:t>
            </w:r>
          </w:p>
        </w:tc>
        <w:tc>
          <w:tcPr>
            <w:tcW w:w="0" w:type="auto"/>
            <w:shd w:val="clear" w:color="auto" w:fill="auto"/>
            <w:tcMar>
              <w:top w:w="100" w:type="dxa"/>
              <w:left w:w="100" w:type="dxa"/>
              <w:bottom w:w="100" w:type="dxa"/>
              <w:right w:w="100" w:type="dxa"/>
            </w:tcMar>
          </w:tcPr>
          <w:p w:rsidR="00C557EE" w:rsidRDefault="00C557EE" w:rsidP="00C557EE">
            <w:pPr>
              <w:widowControl w:val="0"/>
              <w:pBdr>
                <w:top w:val="nil"/>
                <w:left w:val="nil"/>
                <w:bottom w:val="nil"/>
                <w:right w:val="nil"/>
                <w:between w:val="nil"/>
              </w:pBdr>
              <w:spacing w:line="240" w:lineRule="auto"/>
            </w:pPr>
            <w:r>
              <w:t>16/01</w:t>
            </w:r>
          </w:p>
        </w:tc>
        <w:tc>
          <w:tcPr>
            <w:tcW w:w="0" w:type="auto"/>
            <w:shd w:val="clear" w:color="auto" w:fill="auto"/>
            <w:tcMar>
              <w:top w:w="100" w:type="dxa"/>
              <w:left w:w="100" w:type="dxa"/>
              <w:bottom w:w="100" w:type="dxa"/>
              <w:right w:w="100" w:type="dxa"/>
            </w:tcMar>
          </w:tcPr>
          <w:p w:rsidR="00C557EE" w:rsidRDefault="00C557EE" w:rsidP="00C557EE">
            <w:pPr>
              <w:widowControl w:val="0"/>
              <w:pBdr>
                <w:top w:val="nil"/>
                <w:left w:val="nil"/>
                <w:bottom w:val="nil"/>
                <w:right w:val="nil"/>
                <w:between w:val="nil"/>
              </w:pBdr>
              <w:spacing w:line="240" w:lineRule="auto"/>
            </w:pPr>
            <w:r>
              <w:t>Conclusão do Seminário; Recuperação.</w:t>
            </w:r>
          </w:p>
        </w:tc>
      </w:tr>
    </w:tbl>
    <w:p w:rsidR="00055949" w:rsidRDefault="00055949"/>
    <w:sectPr w:rsidR="00055949" w:rsidSect="001C25E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757"/>
    <w:multiLevelType w:val="multilevel"/>
    <w:tmpl w:val="3EF25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CF454C"/>
    <w:multiLevelType w:val="multilevel"/>
    <w:tmpl w:val="735AA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691AC6"/>
    <w:multiLevelType w:val="multilevel"/>
    <w:tmpl w:val="ABE86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491BB5"/>
    <w:multiLevelType w:val="multilevel"/>
    <w:tmpl w:val="6BEEE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48879AB"/>
    <w:multiLevelType w:val="multilevel"/>
    <w:tmpl w:val="10AE2C2C"/>
    <w:lvl w:ilvl="0">
      <w:start w:val="1"/>
      <w:numFmt w:val="decimal"/>
      <w:lvlText w:val="%1."/>
      <w:lvlJc w:val="left"/>
      <w:pPr>
        <w:ind w:left="720" w:hanging="72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nsid w:val="46EC18EC"/>
    <w:multiLevelType w:val="multilevel"/>
    <w:tmpl w:val="9440F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EEE1F98"/>
    <w:multiLevelType w:val="multilevel"/>
    <w:tmpl w:val="67547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3283525"/>
    <w:multiLevelType w:val="multilevel"/>
    <w:tmpl w:val="23DAD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00568"/>
    <w:rsid w:val="00055949"/>
    <w:rsid w:val="00090FA2"/>
    <w:rsid w:val="001C25E6"/>
    <w:rsid w:val="00346F06"/>
    <w:rsid w:val="004E2117"/>
    <w:rsid w:val="00800568"/>
    <w:rsid w:val="00862A12"/>
    <w:rsid w:val="0090085F"/>
    <w:rsid w:val="00B31550"/>
    <w:rsid w:val="00C557EE"/>
    <w:rsid w:val="00D92B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E6"/>
    <w:rPr>
      <w:lang w:val="pt-BR"/>
    </w:rPr>
  </w:style>
  <w:style w:type="paragraph" w:styleId="Ttulo1">
    <w:name w:val="heading 1"/>
    <w:basedOn w:val="Normal"/>
    <w:next w:val="Normal"/>
    <w:uiPriority w:val="9"/>
    <w:qFormat/>
    <w:rsid w:val="001C25E6"/>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1C25E6"/>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1C25E6"/>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1C25E6"/>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1C25E6"/>
    <w:pPr>
      <w:keepNext/>
      <w:keepLines/>
      <w:spacing w:before="240" w:after="80"/>
      <w:outlineLvl w:val="4"/>
    </w:pPr>
    <w:rPr>
      <w:color w:val="666666"/>
    </w:rPr>
  </w:style>
  <w:style w:type="paragraph" w:styleId="Ttulo6">
    <w:name w:val="heading 6"/>
    <w:basedOn w:val="Normal"/>
    <w:next w:val="Normal"/>
    <w:uiPriority w:val="9"/>
    <w:semiHidden/>
    <w:unhideWhenUsed/>
    <w:qFormat/>
    <w:rsid w:val="001C25E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C25E6"/>
    <w:tblPr>
      <w:tblCellMar>
        <w:top w:w="0" w:type="dxa"/>
        <w:left w:w="0" w:type="dxa"/>
        <w:bottom w:w="0" w:type="dxa"/>
        <w:right w:w="0" w:type="dxa"/>
      </w:tblCellMar>
    </w:tblPr>
  </w:style>
  <w:style w:type="paragraph" w:styleId="Ttulo">
    <w:name w:val="Title"/>
    <w:basedOn w:val="Normal"/>
    <w:next w:val="Normal"/>
    <w:uiPriority w:val="10"/>
    <w:qFormat/>
    <w:rsid w:val="001C25E6"/>
    <w:pPr>
      <w:keepNext/>
      <w:keepLines/>
      <w:spacing w:after="60"/>
    </w:pPr>
    <w:rPr>
      <w:sz w:val="52"/>
      <w:szCs w:val="52"/>
    </w:rPr>
  </w:style>
  <w:style w:type="paragraph" w:styleId="Subttulo">
    <w:name w:val="Subtitle"/>
    <w:basedOn w:val="Normal"/>
    <w:next w:val="Normal"/>
    <w:uiPriority w:val="11"/>
    <w:qFormat/>
    <w:rsid w:val="001C25E6"/>
    <w:pPr>
      <w:keepNext/>
      <w:keepLines/>
      <w:spacing w:after="320"/>
    </w:pPr>
    <w:rPr>
      <w:color w:val="666666"/>
      <w:sz w:val="30"/>
      <w:szCs w:val="30"/>
    </w:rPr>
  </w:style>
  <w:style w:type="table" w:customStyle="1" w:styleId="a">
    <w:basedOn w:val="TableNormal"/>
    <w:rsid w:val="001C25E6"/>
    <w:tblPr>
      <w:tblStyleRowBandSize w:val="1"/>
      <w:tblStyleColBandSize w:val="1"/>
      <w:tblCellMar>
        <w:top w:w="100" w:type="dxa"/>
        <w:left w:w="100" w:type="dxa"/>
        <w:bottom w:w="100" w:type="dxa"/>
        <w:right w:w="100" w:type="dxa"/>
      </w:tblCellMar>
    </w:tblPr>
  </w:style>
  <w:style w:type="table" w:customStyle="1" w:styleId="a0">
    <w:basedOn w:val="TableNormal"/>
    <w:rsid w:val="001C25E6"/>
    <w:tblPr>
      <w:tblStyleRowBandSize w:val="1"/>
      <w:tblStyleColBandSize w:val="1"/>
      <w:tblCellMar>
        <w:top w:w="100" w:type="dxa"/>
        <w:left w:w="100" w:type="dxa"/>
        <w:bottom w:w="100" w:type="dxa"/>
        <w:right w:w="100" w:type="dxa"/>
      </w:tblCellMar>
    </w:tblPr>
  </w:style>
  <w:style w:type="table" w:customStyle="1" w:styleId="a1">
    <w:basedOn w:val="TableNormal"/>
    <w:rsid w:val="001C25E6"/>
    <w:tblPr>
      <w:tblStyleRowBandSize w:val="1"/>
      <w:tblStyleColBandSize w:val="1"/>
      <w:tblCellMar>
        <w:top w:w="100" w:type="dxa"/>
        <w:left w:w="100" w:type="dxa"/>
        <w:bottom w:w="100" w:type="dxa"/>
        <w:right w:w="100" w:type="dxa"/>
      </w:tblCellMar>
    </w:tblPr>
  </w:style>
  <w:style w:type="table" w:customStyle="1" w:styleId="a2">
    <w:basedOn w:val="TableNormal"/>
    <w:rsid w:val="001C25E6"/>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sid w:val="001C25E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25E6"/>
    <w:rPr>
      <w:sz w:val="20"/>
      <w:szCs w:val="20"/>
    </w:rPr>
  </w:style>
  <w:style w:type="character" w:styleId="Refdecomentrio">
    <w:name w:val="annotation reference"/>
    <w:basedOn w:val="Fontepargpadro"/>
    <w:uiPriority w:val="99"/>
    <w:semiHidden/>
    <w:unhideWhenUsed/>
    <w:rsid w:val="001C25E6"/>
    <w:rPr>
      <w:sz w:val="16"/>
      <w:szCs w:val="16"/>
    </w:rPr>
  </w:style>
  <w:style w:type="paragraph" w:styleId="Textodebalo">
    <w:name w:val="Balloon Text"/>
    <w:basedOn w:val="Normal"/>
    <w:link w:val="TextodebaloChar"/>
    <w:uiPriority w:val="99"/>
    <w:semiHidden/>
    <w:unhideWhenUsed/>
    <w:rsid w:val="00346F0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6F06"/>
    <w:rPr>
      <w:rFonts w:ascii="Segoe UI" w:hAnsi="Segoe UI" w:cs="Segoe UI"/>
      <w:sz w:val="18"/>
      <w:szCs w:val="18"/>
    </w:rPr>
  </w:style>
  <w:style w:type="paragraph" w:styleId="PargrafodaLista">
    <w:name w:val="List Paragraph"/>
    <w:basedOn w:val="Normal"/>
    <w:uiPriority w:val="34"/>
    <w:qFormat/>
    <w:rsid w:val="00055949"/>
    <w:pPr>
      <w:ind w:left="720"/>
      <w:contextualSpacing/>
    </w:pPr>
  </w:style>
  <w:style w:type="character" w:styleId="Hyperlink">
    <w:name w:val="Hyperlink"/>
    <w:basedOn w:val="Fontepargpadro"/>
    <w:uiPriority w:val="99"/>
    <w:unhideWhenUsed/>
    <w:rsid w:val="00B31550"/>
    <w:rPr>
      <w:color w:val="0000FF" w:themeColor="hyperlink"/>
      <w:u w:val="single"/>
    </w:rPr>
  </w:style>
  <w:style w:type="character" w:customStyle="1" w:styleId="UnresolvedMention">
    <w:name w:val="Unresolved Mention"/>
    <w:basedOn w:val="Fontepargpadro"/>
    <w:uiPriority w:val="99"/>
    <w:semiHidden/>
    <w:unhideWhenUsed/>
    <w:rsid w:val="00B315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faeloliveira@sapucaia.ifsul.edu.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1313</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IF Sul-rio-grandense</cp:lastModifiedBy>
  <cp:revision>8</cp:revision>
  <dcterms:created xsi:type="dcterms:W3CDTF">2020-01-06T18:26:00Z</dcterms:created>
  <dcterms:modified xsi:type="dcterms:W3CDTF">2020-01-14T19:29:00Z</dcterms:modified>
</cp:coreProperties>
</file>