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CEK0wDACAABXBAAADgAAAAAAAAAAAAAAAAAu&#10;AgAAZHJzL2Uyb0RvYy54bWxQSwECLQAUAAYACAAAACEAGJmtjOAAAAALAQAADwAAAAAAAAAAAAAA&#10;AACKBAAAZHJzL2Rvd25yZXYueG1sUEsFBgAAAAAEAAQA8wAAAJcFAAAAAA=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INFORMÁTICA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 </w:t>
      </w:r>
      <w:r>
        <w:rPr>
          <w:rFonts w:ascii="Arial" w:hAnsi="Arial" w:cs="Arial"/>
          <w:b/>
          <w:snapToGrid w:val="0"/>
          <w:lang w:val="pt-BR" w:eastAsia="pt-BR"/>
        </w:rPr>
        <w:t>Biologia II</w:t>
      </w:r>
      <w:r>
        <w:rPr>
          <w:rFonts w:ascii="Arial" w:hAnsi="Arial" w:cs="Arial"/>
          <w:b/>
          <w:snapToGrid w:val="0"/>
          <w:lang w:eastAsia="pt-BR"/>
        </w:rPr>
        <w:t xml:space="preserve">   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</w:t>
      </w:r>
      <w:r>
        <w:rPr>
          <w:rFonts w:ascii="Arial" w:hAnsi="Arial" w:cs="Arial"/>
          <w:b/>
          <w:snapToGrid w:val="0"/>
          <w:lang w:val="pt-BR" w:eastAsia="pt-BR"/>
        </w:rPr>
        <w:t>s</w:t>
      </w:r>
      <w:r>
        <w:rPr>
          <w:rFonts w:ascii="Arial" w:hAnsi="Arial" w:cs="Arial"/>
          <w:b/>
          <w:snapToGrid w:val="0"/>
          <w:lang w:eastAsia="pt-BR"/>
        </w:rPr>
        <w:t>:</w:t>
      </w:r>
      <w:r>
        <w:rPr>
          <w:rFonts w:ascii="Arial" w:hAnsi="Arial" w:cs="Arial"/>
          <w:b/>
          <w:snapToGrid w:val="0"/>
          <w:lang w:val="pt-BR" w:eastAsia="pt-BR"/>
        </w:rPr>
        <w:t xml:space="preserve"> 4I  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proofErr w:type="spellStart"/>
      <w:r>
        <w:rPr>
          <w:rFonts w:ascii="Arial" w:hAnsi="Arial" w:cs="Arial"/>
          <w:b/>
          <w:snapToGrid w:val="0"/>
          <w:lang w:val="pt-BR" w:eastAsia="pt-BR"/>
        </w:rPr>
        <w:t>Lacina</w:t>
      </w:r>
      <w:proofErr w:type="spellEnd"/>
      <w:r>
        <w:rPr>
          <w:rFonts w:ascii="Arial" w:hAnsi="Arial" w:cs="Arial"/>
          <w:b/>
          <w:snapToGrid w:val="0"/>
          <w:lang w:val="pt-BR" w:eastAsia="pt-BR"/>
        </w:rPr>
        <w:t xml:space="preserve"> Maria Freitas Teixeira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 2019/1</w:t>
      </w:r>
    </w:p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biologia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oportuniza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I: GENÉTICA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Reconhecer Mendel como um grande pesquisador e descobridor de elementos que revolucionaram a ciência biológica.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Identificar e diferenciar características genéticas, hereditárias, congênitas 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adquiridas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Apresentar aos alunos as características da Primeira Lei de Mendel.</w:t>
            </w:r>
          </w:p>
          <w:p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Compreender alguns conceitos de genética, como genótipo, fenótipo, genes dominantes e recessivos, alelos, cromossomos homólogos, indivíduos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homozigóticos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heterozigóticos, hereditariedade, etc.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Dar aos alunos noções de probabilidade e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desenvolver-lhes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capacidade de resolver problemas através dos conceitos compreendidos.</w:t>
            </w:r>
          </w:p>
          <w:p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Desenvolver conhecimentos sobre os mecanismos de transmissão dos caracteres, fundamentados na genética mendeliana.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Analisar o sistema sanguíneo grupo ABO, MN e fator RH, identificando os diferentes tipos sanguíneos e reconhecer os casos de incompatibilidade sanguínea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Construir </w:t>
            </w:r>
            <w:proofErr w:type="spellStart"/>
            <w:r>
              <w:rPr>
                <w:rFonts w:ascii="Arial" w:hAnsi="Arial" w:cs="Arial"/>
                <w:color w:val="000000"/>
              </w:rPr>
              <w:t>heredogramas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partir de situações-problema.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Compreender a Segunda Lei</w:t>
            </w:r>
            <w:r>
              <w:rPr>
                <w:rFonts w:ascii="Arial" w:hAnsi="Arial" w:cs="Arial"/>
              </w:rPr>
              <w:t xml:space="preserve"> de Mendel; </w:t>
            </w:r>
          </w:p>
          <w:p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o processo de meiose à segregação independente dos cromossomos</w:t>
            </w:r>
          </w:p>
          <w:p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Relacionar genes letais, ausência de dominância, codominância,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interação gênica, herança quantitativa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 mecanismo de herança do daltonismo e da hemofilia</w:t>
            </w:r>
          </w:p>
          <w:p>
            <w:pPr>
              <w:rPr>
                <w:rStyle w:val="Forte"/>
                <w:b w:val="0"/>
                <w:color w:val="000000"/>
              </w:rPr>
            </w:pPr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Analisar, argumentar e posicionar-se criticamente em relação a temas ligados à biotecnologia (produção de alimentos transgênicos, terapia gênica, clonagem, células-tronco).</w:t>
            </w: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120" w:line="160" w:lineRule="atLeast"/>
              <w:jc w:val="both"/>
              <w:rPr>
                <w:rStyle w:val="apple-converted-space"/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UNIDADE II: TECIDOS e FISIOLOGIA HUMANA</w:t>
            </w:r>
          </w:p>
          <w:p>
            <w:pPr>
              <w:widowControl w:val="0"/>
              <w:spacing w:before="120" w:line="160" w:lineRule="atLeast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Caracterizar os diferentes tipos de tecidos humanos.</w:t>
            </w:r>
          </w:p>
          <w:p>
            <w:pPr>
              <w:rPr>
                <w:rStyle w:val="Forte"/>
                <w:b w:val="0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as diferenças entre os sistemas fisiológicos humanos. Reconhecer em detalhes a anatomia e a fisiologia dos sistemas do corpo humano. Articular, integrar e sistematizar as funções de cada sistema do corpo humano inter-relacionando suas partes de forma integrada e harmoniosa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III: SERES VIVOS</w:t>
            </w:r>
          </w:p>
          <w:p>
            <w:pPr>
              <w:widowControl w:val="0"/>
              <w:spacing w:before="120" w:line="160" w:lineRule="atLeast"/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Entender a importância e a necessidade de se classificar os seres vivos e as regras de nomenclatura. Caracterizar os cinco reinos: Protista, Monera,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Plantas e Animais.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Compreender as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relações filogenéticas entre os orga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nismos.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Caracterizar, classificar, comparar e identificar cada grupo de seres vivos considerando seus aspectos 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ecológicos, fisiológicos e reprodutivos.  </w:t>
            </w:r>
          </w:p>
          <w:p>
            <w:pPr>
              <w:rPr>
                <w:rStyle w:val="Forte"/>
                <w:b w:val="0"/>
                <w:color w:val="000000"/>
              </w:rPr>
            </w:pPr>
          </w:p>
          <w:p>
            <w:pPr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>UNIDADE IV: FISIOLOGIA ANIMAL</w:t>
            </w: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as diferentes viroses e bacterioses e seus mecanismos de atuação. Comparar os métodos de tratamentos e os métodos profiláticos das viroses e bacterioses. Analisar os dados sobre doenças causadas por vírus e bactérias além de seus mecanismos de atuação.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Descrever as principais doenças causadas por protozoários, seus tratamentos e sua profilaxia. Conhecer as principais verminoses que afligem o homem, seus agentes causadores, seus vetores, seus tratamentos e sua profilaxia. Valorizar a importância ecológica, econômica e médica de fungos e bactérias. Reconhecer as doenças causadas por fungos e verminoses, seus tratamentos e profilaxia.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V: FISIOLOGIA VEGETAL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as características gerais dos principais filos do reino vegetal: briófitas,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pteridófitas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gimnosperma e angiosperma. Identificar aspectos básicos da nutrição e fisiologia das plantas, reconhecendo sua importância para o desenvolvimento e a otimização da agricultura. Conhecer os principais grupos de hormônios vegetais e suas funções na planta. Observar diferentes tipos de raiz, caule, folha, flor, fruto e semente. Associar características adaptativas das partes dos vegetais com os seus limites de distribuição e diferentes ambientes em 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vivem. </w:t>
            </w: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</w:tbl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– Genética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Histórico: os experimentos de Mendel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 Vocabulário de Genética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A 1ª Lei de Mendel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Genética e probabilidades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Codominância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Grupos Sanguíneos: Sistema ABO, Sistema MN e Fator Rh,    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Transfusões sanguíneas.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Eritroblastose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Fetal.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 A 2ª Lei de Mendel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Interação Gênica e Herança Quantitativa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 Genes Letais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Herança Ligada ao X: Hemofilia e Daltonismo.</w:t>
            </w:r>
          </w:p>
          <w:p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1.11 Genética e Bioética. Biotecnologia: (p</w:t>
            </w:r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rodução de alimentos transgênicos,     </w:t>
            </w:r>
          </w:p>
          <w:p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       </w:t>
            </w:r>
            <w:proofErr w:type="gramStart"/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terapia</w:t>
            </w:r>
            <w:proofErr w:type="gramEnd"/>
            <w: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gênica, clonagem, células-tronco).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 – Tecidos e Fisiologia Humana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Tecidos humanos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 Sistema digestório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 Sistema respiratório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 Sistema circulatório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5 Sistema excretor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 Sistema nervoso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 Sistema endócrino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III -  Seres Vivos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 Nomenclatura biológica.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Classificação filogenética: Os grandes grupos de seres vivos.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IV – Fisiologia Animal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 Viroses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Doenças bacterianas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Doenças causadas por Protozoários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4,4 Doenças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Fúngicas</w:t>
            </w:r>
            <w:proofErr w:type="spellEnd"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 Verminoses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V – Fisiologia Vegetal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 Classificação Vegetal: Os grandes filos do Reino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Plantae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briófitas,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pteridófitas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gimnospermas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angiospermas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 Hormônios vegetais e suas funções.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5.3. Raiz, caule, folha, flor, fruto e semente</w:t>
            </w:r>
          </w:p>
        </w:tc>
      </w:tr>
    </w:tbl>
    <w:p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Aulas expositivas, apresentações em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point (projetor de slides), saída de campo, aulas práticas nos jardins do </w:t>
      </w:r>
      <w:proofErr w:type="spellStart"/>
      <w:r>
        <w:rPr>
          <w:rFonts w:ascii="Arial" w:hAnsi="Arial" w:cs="Arial"/>
          <w:sz w:val="24"/>
          <w:szCs w:val="24"/>
        </w:rPr>
        <w:t>Câmpus</w:t>
      </w:r>
      <w:proofErr w:type="spellEnd"/>
      <w:r>
        <w:rPr>
          <w:rFonts w:ascii="Arial" w:hAnsi="Arial" w:cs="Arial"/>
          <w:sz w:val="24"/>
          <w:szCs w:val="24"/>
        </w:rPr>
        <w:t xml:space="preserve">, aulas </w:t>
      </w:r>
      <w:proofErr w:type="gramStart"/>
      <w:r>
        <w:rPr>
          <w:rFonts w:ascii="Arial" w:hAnsi="Arial" w:cs="Arial"/>
          <w:sz w:val="24"/>
          <w:szCs w:val="24"/>
        </w:rPr>
        <w:t>práticas  em</w:t>
      </w:r>
      <w:proofErr w:type="gramEnd"/>
      <w:r>
        <w:rPr>
          <w:rFonts w:ascii="Arial" w:hAnsi="Arial" w:cs="Arial"/>
          <w:sz w:val="24"/>
          <w:szCs w:val="24"/>
        </w:rPr>
        <w:t xml:space="preserve"> laboratório,  (microscópio, lâminas, lamínulas, placas de </w:t>
      </w:r>
      <w:proofErr w:type="spellStart"/>
      <w:r>
        <w:rPr>
          <w:rFonts w:ascii="Arial" w:hAnsi="Arial" w:cs="Arial"/>
          <w:sz w:val="24"/>
          <w:szCs w:val="24"/>
        </w:rPr>
        <w:t>petry</w:t>
      </w:r>
      <w:proofErr w:type="spellEnd"/>
      <w:r>
        <w:rPr>
          <w:rFonts w:ascii="Arial" w:hAnsi="Arial" w:cs="Arial"/>
          <w:sz w:val="24"/>
          <w:szCs w:val="24"/>
        </w:rPr>
        <w:t>). Livros de Biologia, Textos e Estudo Dirigido. Trabalhos em duplas e individuais.</w:t>
      </w:r>
    </w:p>
    <w:p>
      <w:pPr>
        <w:rPr>
          <w:rFonts w:ascii="Arial" w:hAnsi="Arial" w:cs="Arial"/>
          <w:sz w:val="24"/>
          <w:szCs w:val="24"/>
        </w:rPr>
      </w:pPr>
    </w:p>
    <w:p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  <w:r>
        <w:rPr>
          <w:rFonts w:ascii="Arial" w:hAnsi="Arial" w:cs="Arial"/>
          <w:sz w:val="24"/>
          <w:szCs w:val="24"/>
          <w:lang w:val="pt-BR"/>
        </w:rPr>
        <w:t xml:space="preserve"> 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Exercícios com consulta (individual) – peso 2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Trabalho com consulta (em dupla) – peso 2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Prova individual de genética – peso 3.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Relatório sobre a saída de campo ao museu de arqueologia da UFRGS + prova individual sobre evolução – peso 2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Cálculo: soma das avaliações descritas acima no total de 10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pts</w:t>
      </w:r>
      <w:proofErr w:type="spellEnd"/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Terças-feiras:   das 15hs às 18:15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Quartas-feiras: das 9hs às 12:15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Sextas-feiras:   das 9hs às 12:15.                 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7</w:t>
      </w:r>
      <w:r>
        <w:rPr>
          <w:rFonts w:ascii="Arial" w:hAnsi="Arial" w:cs="Arial"/>
          <w:sz w:val="24"/>
          <w:szCs w:val="24"/>
        </w:rPr>
        <w:t xml:space="preserve">.Bibliografia básica: 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BANDOUK, Antônio Carlos [</w:t>
      </w:r>
      <w:r>
        <w:rPr>
          <w:rFonts w:ascii="Arial" w:hAnsi="Arial" w:cs="Arial"/>
          <w:i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];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organizadora Edições SM. </w:t>
      </w:r>
      <w:r>
        <w:rPr>
          <w:rFonts w:ascii="Arial" w:hAnsi="Arial" w:cs="Arial"/>
          <w:b/>
          <w:sz w:val="24"/>
          <w:szCs w:val="24"/>
        </w:rPr>
        <w:t xml:space="preserve">Ser Protagonista. </w:t>
      </w:r>
      <w:r>
        <w:rPr>
          <w:rFonts w:ascii="Arial" w:hAnsi="Arial" w:cs="Arial"/>
          <w:sz w:val="24"/>
          <w:szCs w:val="24"/>
        </w:rPr>
        <w:t xml:space="preserve">3 </w:t>
      </w:r>
      <w:proofErr w:type="gramStart"/>
      <w:r>
        <w:rPr>
          <w:rFonts w:ascii="Arial" w:hAnsi="Arial" w:cs="Arial"/>
          <w:sz w:val="24"/>
          <w:szCs w:val="24"/>
        </w:rPr>
        <w:t>edição  Volumes</w:t>
      </w:r>
      <w:proofErr w:type="gramEnd"/>
      <w:r>
        <w:rPr>
          <w:rFonts w:ascii="Arial" w:hAnsi="Arial" w:cs="Arial"/>
          <w:sz w:val="24"/>
          <w:szCs w:val="24"/>
        </w:rPr>
        <w:t xml:space="preserve"> 1,2 e 3. São </w:t>
      </w:r>
      <w:proofErr w:type="gramStart"/>
      <w:r>
        <w:rPr>
          <w:rFonts w:ascii="Arial" w:hAnsi="Arial" w:cs="Arial"/>
          <w:sz w:val="24"/>
          <w:szCs w:val="24"/>
        </w:rPr>
        <w:t>Paulo :</w:t>
      </w:r>
      <w:proofErr w:type="gramEnd"/>
      <w:r>
        <w:rPr>
          <w:rFonts w:ascii="Arial" w:hAnsi="Arial" w:cs="Arial"/>
          <w:sz w:val="24"/>
          <w:szCs w:val="24"/>
        </w:rPr>
        <w:t xml:space="preserve"> Edições SM,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FAVARETTO, José Arnaldo </w:t>
      </w:r>
      <w:r>
        <w:rPr>
          <w:rFonts w:ascii="Arial" w:hAnsi="Arial" w:cs="Arial"/>
          <w:b/>
          <w:sz w:val="24"/>
          <w:szCs w:val="24"/>
        </w:rPr>
        <w:t>Biologia unidade e diversidade</w:t>
      </w:r>
      <w:r>
        <w:rPr>
          <w:rFonts w:ascii="Arial" w:hAnsi="Arial" w:cs="Arial"/>
          <w:sz w:val="24"/>
          <w:szCs w:val="24"/>
        </w:rPr>
        <w:t xml:space="preserve">, 3º ano/ </w:t>
      </w:r>
      <w:proofErr w:type="gramStart"/>
      <w:r>
        <w:rPr>
          <w:rFonts w:ascii="Arial" w:hAnsi="Arial" w:cs="Arial"/>
          <w:sz w:val="24"/>
          <w:szCs w:val="24"/>
        </w:rPr>
        <w:t>José  Arnaldo</w:t>
      </w:r>
      <w:proofErr w:type="gramEnd"/>
      <w:r>
        <w:rPr>
          <w:rFonts w:ascii="Arial" w:hAnsi="Arial" w:cs="Arial"/>
          <w:sz w:val="24"/>
          <w:szCs w:val="24"/>
        </w:rPr>
        <w:t xml:space="preserve"> Favaretto – 1 edição – São Paulo:FTD,2016.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 xml:space="preserve">Biologia Hoje </w:t>
      </w: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edição</w:t>
      </w:r>
      <w:proofErr w:type="gramEnd"/>
      <w:r>
        <w:rPr>
          <w:rFonts w:ascii="Arial" w:hAnsi="Arial" w:cs="Arial"/>
          <w:sz w:val="24"/>
          <w:szCs w:val="24"/>
        </w:rPr>
        <w:t>. Volumes 1,2 e 3. São Paulo: Ática,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 JÚNIOR, César, SASSON, </w:t>
      </w:r>
      <w:proofErr w:type="spellStart"/>
      <w:r>
        <w:rPr>
          <w:rFonts w:ascii="Arial" w:hAnsi="Arial" w:cs="Arial"/>
          <w:sz w:val="24"/>
          <w:szCs w:val="24"/>
        </w:rPr>
        <w:t>Sezar</w:t>
      </w:r>
      <w:proofErr w:type="spellEnd"/>
      <w:r>
        <w:rPr>
          <w:rFonts w:ascii="Arial" w:hAnsi="Arial" w:cs="Arial"/>
          <w:sz w:val="24"/>
          <w:szCs w:val="24"/>
        </w:rPr>
        <w:t xml:space="preserve">, CALDINI JÚNIOR, </w:t>
      </w:r>
      <w:proofErr w:type="gramStart"/>
      <w:r>
        <w:rPr>
          <w:rFonts w:ascii="Arial" w:hAnsi="Arial" w:cs="Arial"/>
          <w:sz w:val="24"/>
          <w:szCs w:val="24"/>
        </w:rPr>
        <w:t>Nelson.,</w:t>
      </w:r>
      <w:proofErr w:type="gramEnd"/>
      <w:r>
        <w:rPr>
          <w:rFonts w:ascii="Arial" w:hAnsi="Arial" w:cs="Arial"/>
          <w:sz w:val="24"/>
          <w:szCs w:val="24"/>
        </w:rPr>
        <w:t xml:space="preserve"> LOPES, Sonia, ROSSO, Sérgio</w:t>
      </w:r>
      <w:r>
        <w:rPr>
          <w:rFonts w:ascii="Arial" w:hAnsi="Arial" w:cs="Arial"/>
          <w:b/>
          <w:sz w:val="24"/>
          <w:szCs w:val="24"/>
        </w:rPr>
        <w:t xml:space="preserve"> Biologia </w:t>
      </w:r>
      <w:r>
        <w:rPr>
          <w:rFonts w:ascii="Arial" w:hAnsi="Arial" w:cs="Arial"/>
          <w:sz w:val="24"/>
          <w:szCs w:val="24"/>
        </w:rPr>
        <w:t>.-3. ed.-  Volumes 1,2 e 3. São Paulo: Saraiva, 2016.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5" w:history="1">
        <w:r>
          <w:rPr>
            <w:rStyle w:val="Hyperlink"/>
            <w:rFonts w:ascii="Arial" w:hAnsi="Arial" w:cs="Arial"/>
            <w:bCs/>
            <w:sz w:val="24"/>
            <w:szCs w:val="24"/>
          </w:rPr>
          <w:t>http://www.infoescola.com/biologia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6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www.sobiologia.com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www.planetabio.com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hyperlink r:id="rId8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www.brasilescola.com/biologia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www.universitario.com.br/biologia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www.mundoeducacao.com.br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www.todabiologia.com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hyperlink r:id="rId12" w:history="1">
        <w:r>
          <w:rPr>
            <w:rStyle w:val="Hyperlink"/>
            <w:rFonts w:ascii="Arial" w:hAnsi="Arial" w:cs="Arial"/>
            <w:bCs/>
            <w:sz w:val="24"/>
            <w:szCs w:val="24"/>
          </w:rPr>
          <w:t>www.biomania.com.br/bio</w:t>
        </w:r>
      </w:hyperlink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INFORMÁTICA</w:t>
      </w:r>
    </w:p>
    <w:p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Biologia II   /           </w:t>
      </w:r>
      <w:r>
        <w:rPr>
          <w:rFonts w:ascii="Arial" w:hAnsi="Arial" w:cs="Arial"/>
          <w:b/>
          <w:snapToGrid w:val="0"/>
          <w:lang w:eastAsia="pt-BR"/>
        </w:rPr>
        <w:t xml:space="preserve">Professor(a):   </w:t>
      </w:r>
      <w:proofErr w:type="spellStart"/>
      <w:r>
        <w:rPr>
          <w:rFonts w:ascii="Arial" w:hAnsi="Arial" w:cs="Arial"/>
          <w:b/>
          <w:snapToGrid w:val="0"/>
          <w:lang w:val="pt-BR" w:eastAsia="pt-BR"/>
        </w:rPr>
        <w:t>Lacina</w:t>
      </w:r>
      <w:proofErr w:type="spellEnd"/>
      <w:r>
        <w:rPr>
          <w:rFonts w:ascii="Arial" w:hAnsi="Arial" w:cs="Arial"/>
          <w:b/>
          <w:snapToGrid w:val="0"/>
          <w:lang w:val="pt-BR" w:eastAsia="pt-BR"/>
        </w:rPr>
        <w:t xml:space="preserve"> Maria Freitas Teixeira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   </w:t>
      </w:r>
      <w:r>
        <w:rPr>
          <w:rFonts w:ascii="Arial" w:hAnsi="Arial" w:cs="Arial"/>
          <w:b/>
          <w:snapToGrid w:val="0"/>
          <w:lang w:val="pt-BR" w:eastAsia="pt-BR"/>
        </w:rPr>
        <w:t xml:space="preserve">2019/1                                    </w:t>
      </w: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4I (quintas-feiras)</w:t>
      </w:r>
    </w:p>
    <w:p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>:     lacina</w:t>
      </w:r>
      <w:r>
        <w:rPr>
          <w:rFonts w:ascii="Arial" w:hAnsi="Arial" w:cs="Arial"/>
          <w:b/>
          <w:snapToGrid w:val="0"/>
          <w:lang w:val="pt-BR" w:eastAsia="pt-BR"/>
        </w:rPr>
        <w:t>@sapucaia.ifsul.edu.br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</w:t>
      </w:r>
    </w:p>
    <w:p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858"/>
        <w:gridCol w:w="7591"/>
      </w:tblGrid>
      <w:tr>
        <w:trPr>
          <w:trHeight w:val="273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>
        <w:trPr>
          <w:trHeight w:val="135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21/02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da disciplina, formas de avaliação e atitudes esperadas de envolvimento de todos.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Descobrindo fenótipos e genótipos dominantes e recessivos.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da vida de Mendel.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Vocabulário de Genética.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28/02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Vocabulário de Genética. 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1ª Lei de Mendel e 2ª Lei de Mendel. Exercícios.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07/03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Heredogramas</w:t>
            </w:r>
            <w:proofErr w:type="spellEnd"/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Probabilidade em Genética: exemplos e exercícios.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14/03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Heranças que fogem às leis de Mendel: 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Codominância. Genes Letais. Problemas de Genética.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21/03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Trabalho em duplas: Exercícios e Problemas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de Genética       1,0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gupos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sanguíneos</w:t>
            </w:r>
            <w:r>
              <w:rPr>
                <w:rFonts w:ascii="Arial" w:hAnsi="Arial" w:cs="Arial"/>
                <w:sz w:val="24"/>
                <w:szCs w:val="24"/>
              </w:rPr>
              <w:t>: Sistema ABO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28/03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Grupos Sanguíneos. Sistema ABO. Sistema MN.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Problemas.</w:t>
            </w:r>
          </w:p>
          <w:p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Fator Rh. Incompatibilidade Sanguínea.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Eritroblastose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Fetal.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04/04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Aula Prática: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Tipagem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sanguínea: Sistema ABO e fator Rh</w:t>
            </w:r>
          </w:p>
          <w:p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Entrega de relatório:                                                                      2,0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11/04</w:t>
            </w:r>
          </w:p>
        </w:tc>
        <w:tc>
          <w:tcPr>
            <w:tcW w:w="7591" w:type="dxa"/>
          </w:tcPr>
          <w:p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Interação Gênica e Herança Quantitativa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18/04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Herança Ligada ao X: Hemofilia e Daltonismo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Exercícios e Revisão para prova de genética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25/04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 de Genética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3,0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02/05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Genética e Bioética. Genética e Biotecnologia. Transgênicos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Clonagem, células-tronco, terapia gênica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 Estudo anterior do tema.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Trabalho em grupos. Apresentação das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conclusões.  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   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09/05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Principais tecidos humanos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16/05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Principais tecidos humanos.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23/05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Fisiologia humana: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Sistema digestório e excretor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30/05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Sistemas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respiratório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circulatório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06/06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Sistemas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nervoso e endócrino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13/06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Saída de campo: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Visita ao Laboratório de Anatomia da UNISINOS – São Leopoldo.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  <w:t>20/06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Feriado: Corpus Christi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27/06</w:t>
            </w:r>
          </w:p>
        </w:tc>
        <w:tc>
          <w:tcPr>
            <w:tcW w:w="7591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Trabalho em dupla sobre fisiologia humana                               1,0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Revisão de Tecidos e Fisiologia humana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04/07</w:t>
            </w:r>
          </w:p>
        </w:tc>
        <w:tc>
          <w:tcPr>
            <w:tcW w:w="7591" w:type="dxa"/>
          </w:tcPr>
          <w:p>
            <w:pPr>
              <w:pStyle w:val="Corpodetexto"/>
              <w:tabs>
                <w:tab w:val="left" w:pos="2220"/>
              </w:tabs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Prova fisiologia humana                                                               3,0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11/07</w:t>
            </w:r>
          </w:p>
        </w:tc>
        <w:tc>
          <w:tcPr>
            <w:tcW w:w="7591" w:type="dxa"/>
          </w:tcPr>
          <w:p>
            <w:pPr>
              <w:pStyle w:val="Corpodetexto"/>
              <w:tabs>
                <w:tab w:val="left" w:pos="2220"/>
              </w:tabs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Prova de reavaliação do Semestre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10,0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</w:tbl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Terças-feiras:   das 15hs às 18:15 /                             Quartas-feiras: das 9hs às 12:15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szCs w:val="24"/>
          <w:lang w:val="pt-BR"/>
        </w:rPr>
        <w:t xml:space="preserve">Sextas-feiras:   das 9hs às 12:15.      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BF2B-B72B-4112-9ABF-DCF1F704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</w:style>
  <w:style w:type="character" w:styleId="Forte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silescola.com/biolog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etabio.com" TargetMode="External"/><Relationship Id="rId12" Type="http://schemas.openxmlformats.org/officeDocument/2006/relationships/hyperlink" Target="http://www.biomania.com.br/b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biologia.com" TargetMode="External"/><Relationship Id="rId11" Type="http://schemas.openxmlformats.org/officeDocument/2006/relationships/hyperlink" Target="http://www.todabiologia.com" TargetMode="External"/><Relationship Id="rId5" Type="http://schemas.openxmlformats.org/officeDocument/2006/relationships/hyperlink" Target="http://www.infoescola.com/biologia" TargetMode="External"/><Relationship Id="rId10" Type="http://schemas.openxmlformats.org/officeDocument/2006/relationships/hyperlink" Target="http://www.mundoeducacao.com.b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iversitario.com.br/biolog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1578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lacina.bio@gmail.com</dc:creator>
  <cp:keywords/>
  <dc:description/>
  <cp:lastModifiedBy>lacina.bio@gmail.com</cp:lastModifiedBy>
  <cp:revision>12</cp:revision>
  <dcterms:created xsi:type="dcterms:W3CDTF">2019-02-17T23:05:00Z</dcterms:created>
  <dcterms:modified xsi:type="dcterms:W3CDTF">2019-02-28T20:24:00Z</dcterms:modified>
</cp:coreProperties>
</file>