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110" w:type="dxa"/>
        <w:tblLook w:val="04A0"/>
      </w:tblPr>
      <w:tblGrid>
        <w:gridCol w:w="861"/>
        <w:gridCol w:w="5212"/>
        <w:gridCol w:w="3037"/>
      </w:tblGrid>
      <w:tr w:rsidR="00D63940" w:rsidRPr="00872A4D" w:rsidTr="001018C0">
        <w:trPr>
          <w:trHeight w:val="247"/>
        </w:trPr>
        <w:tc>
          <w:tcPr>
            <w:tcW w:w="861" w:type="dxa"/>
          </w:tcPr>
          <w:p w:rsidR="004941D1" w:rsidRPr="00872A4D" w:rsidRDefault="004941D1" w:rsidP="004941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</w:tcPr>
          <w:p w:rsidR="00D63940" w:rsidRPr="00872A4D" w:rsidRDefault="00A314F9" w:rsidP="00D63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t>SLIDE</w:t>
            </w:r>
          </w:p>
        </w:tc>
        <w:tc>
          <w:tcPr>
            <w:tcW w:w="3037" w:type="dxa"/>
          </w:tcPr>
          <w:p w:rsidR="00D63940" w:rsidRPr="00872A4D" w:rsidRDefault="00A314F9" w:rsidP="00D63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t>COMENTÁRIO</w:t>
            </w:r>
          </w:p>
        </w:tc>
      </w:tr>
      <w:tr w:rsidR="00D63940" w:rsidRPr="00872A4D" w:rsidTr="001018C0">
        <w:trPr>
          <w:trHeight w:val="1187"/>
        </w:trPr>
        <w:tc>
          <w:tcPr>
            <w:tcW w:w="861" w:type="dxa"/>
          </w:tcPr>
          <w:p w:rsidR="00D63940" w:rsidRPr="00872A4D" w:rsidRDefault="005D384A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:rsidR="00D63940" w:rsidRPr="00872A4D" w:rsidRDefault="005D384A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t>Direitos humanos, artigo XXVI.</w:t>
            </w:r>
          </w:p>
        </w:tc>
        <w:tc>
          <w:tcPr>
            <w:tcW w:w="3037" w:type="dxa"/>
          </w:tcPr>
          <w:p w:rsidR="00D63940" w:rsidRPr="00872A4D" w:rsidRDefault="005D384A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t>Bom dia, o artigo que agora será apresentado (26, da Declaração dos Direitos Humanos) trata da educação e do conhecimento devido a cada indivíduo.</w:t>
            </w:r>
          </w:p>
        </w:tc>
      </w:tr>
      <w:tr w:rsidR="00D63940" w:rsidRPr="00872A4D" w:rsidTr="001018C0">
        <w:trPr>
          <w:trHeight w:val="3824"/>
        </w:trPr>
        <w:tc>
          <w:tcPr>
            <w:tcW w:w="861" w:type="dxa"/>
          </w:tcPr>
          <w:p w:rsidR="00D63940" w:rsidRPr="00872A4D" w:rsidRDefault="005D384A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:rsidR="00D63940" w:rsidRPr="00872A4D" w:rsidRDefault="005D384A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color w:val="000000"/>
                <w:sz w:val="24"/>
                <w:szCs w:val="24"/>
                <w:shd w:val="clear" w:color="auto" w:fill="F0FFFF"/>
              </w:rPr>
              <w:t>I) Todo o homem tem direito à instrução. A instrução será gratuita, pelo menos nos graus elementares e fundamentais. A instrução elementar será obrigatória. A instrução técnic</w:t>
            </w:r>
            <w:r w:rsidR="0095259C" w:rsidRPr="00872A4D">
              <w:rPr>
                <w:rFonts w:ascii="Arial" w:hAnsi="Arial" w:cs="Arial"/>
                <w:color w:val="000000"/>
                <w:sz w:val="24"/>
                <w:szCs w:val="24"/>
                <w:shd w:val="clear" w:color="auto" w:fill="F0FFFF"/>
              </w:rPr>
              <w:t>a</w:t>
            </w:r>
            <w:r w:rsidRPr="00872A4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5259C" w:rsidRPr="00872A4D">
              <w:rPr>
                <w:rFonts w:ascii="Arial" w:hAnsi="Arial" w:cs="Arial"/>
                <w:color w:val="000000"/>
                <w:sz w:val="24"/>
                <w:szCs w:val="24"/>
                <w:shd w:val="clear" w:color="auto" w:fill="F0FFFF"/>
              </w:rPr>
              <w:t>p</w:t>
            </w:r>
            <w:r w:rsidRPr="00872A4D">
              <w:rPr>
                <w:rFonts w:ascii="Arial" w:hAnsi="Arial" w:cs="Arial"/>
                <w:color w:val="000000"/>
                <w:sz w:val="24"/>
                <w:szCs w:val="24"/>
                <w:shd w:val="clear" w:color="auto" w:fill="F0FFFF"/>
              </w:rPr>
              <w:t>rofissional será acessível a todos, bem como a instrução superior, esta baseada no mérito.</w:t>
            </w:r>
            <w:r w:rsidRPr="00872A4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872A4D">
              <w:rPr>
                <w:rFonts w:ascii="Arial" w:hAnsi="Arial" w:cs="Arial"/>
                <w:color w:val="000000"/>
                <w:sz w:val="24"/>
                <w:szCs w:val="24"/>
                <w:shd w:val="clear" w:color="auto" w:fill="F0FFFF"/>
              </w:rPr>
              <w:t>II) A instrução será orientada no sentido do pleno desenvolvimento da personalidade humana e do fortalecimento do respeito pelos direitos do homem e pelas liberdades fundamentais. A instrução promoverá a compreensão, a tolerância e amizade entre todas as nações e grupos raciais ou religiosos, e coadjuvará as atividades das Nações Unidas em prol da manutenção da paz.</w:t>
            </w:r>
            <w:r w:rsidRPr="00872A4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872A4D">
              <w:rPr>
                <w:rFonts w:ascii="Arial" w:hAnsi="Arial" w:cs="Arial"/>
                <w:color w:val="000000"/>
                <w:sz w:val="24"/>
                <w:szCs w:val="24"/>
                <w:shd w:val="clear" w:color="auto" w:fill="F0FFFF"/>
              </w:rPr>
              <w:t>III) Os pais têm prioridade de direito na escolha do gênero de instrução que será ministrada a seus filhos.</w:t>
            </w:r>
          </w:p>
        </w:tc>
        <w:tc>
          <w:tcPr>
            <w:tcW w:w="3037" w:type="dxa"/>
          </w:tcPr>
          <w:p w:rsidR="005C08DB" w:rsidRPr="00872A4D" w:rsidRDefault="005D384A" w:rsidP="005C08DB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1D74" w:rsidRPr="00872A4D" w:rsidRDefault="005C08DB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t xml:space="preserve">Como complementação e também para maior entendimento o próximo slide </w:t>
            </w:r>
            <w:r w:rsidR="00FB068A" w:rsidRPr="00872A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A4D">
              <w:rPr>
                <w:rFonts w:ascii="Arial" w:hAnsi="Arial" w:cs="Arial"/>
                <w:sz w:val="24"/>
                <w:szCs w:val="24"/>
              </w:rPr>
              <w:t>traz um vídeo sobre o respectivo artigo.</w:t>
            </w:r>
          </w:p>
        </w:tc>
      </w:tr>
      <w:tr w:rsidR="00D63940" w:rsidRPr="00872A4D" w:rsidTr="001018C0">
        <w:trPr>
          <w:trHeight w:val="2851"/>
        </w:trPr>
        <w:tc>
          <w:tcPr>
            <w:tcW w:w="861" w:type="dxa"/>
          </w:tcPr>
          <w:p w:rsidR="00D63940" w:rsidRPr="00872A4D" w:rsidRDefault="00790BAE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:rsidR="00D63940" w:rsidRPr="00872A4D" w:rsidRDefault="005C08DB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t>Vídeo</w:t>
            </w:r>
            <w:r w:rsidR="0088449A" w:rsidRPr="00872A4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8449A" w:rsidRPr="00872A4D" w:rsidRDefault="000A60FA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88449A" w:rsidRPr="00872A4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http://br.youthforhumanrights.org/what-are-human-rights/videos/right-to-education.html</w:t>
              </w:r>
            </w:hyperlink>
          </w:p>
        </w:tc>
        <w:tc>
          <w:tcPr>
            <w:tcW w:w="3037" w:type="dxa"/>
          </w:tcPr>
          <w:p w:rsidR="005C08DB" w:rsidRPr="00872A4D" w:rsidRDefault="005C08DB" w:rsidP="005C08DB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t xml:space="preserve">Toda pessoa tem direito a educação, que deverá ser fornecida gratuitamente, pelo menos nos graus fundamentares. Assim como tem o direito a educação técnica e superior, que será alcançada devido ao seu conhecimento. </w:t>
            </w:r>
          </w:p>
          <w:p w:rsidR="00D63940" w:rsidRPr="00872A4D" w:rsidRDefault="00A314F9" w:rsidP="00FB068A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t>A educação poderá ser por meio de escola pública ou privada, sendo essa escolha feita pelos pais</w:t>
            </w:r>
            <w:r w:rsidR="005C08DB" w:rsidRPr="00872A4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63940" w:rsidRPr="00872A4D" w:rsidTr="001018C0">
        <w:trPr>
          <w:trHeight w:val="1677"/>
        </w:trPr>
        <w:tc>
          <w:tcPr>
            <w:tcW w:w="861" w:type="dxa"/>
          </w:tcPr>
          <w:p w:rsidR="00D63940" w:rsidRPr="00872A4D" w:rsidRDefault="00695EFD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12" w:type="dxa"/>
          </w:tcPr>
          <w:p w:rsidR="0068408D" w:rsidRPr="00872A4D" w:rsidRDefault="0068408D" w:rsidP="0068408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72A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 Constituição Federal em seu artigo 6, também defende o principio de educação que o artig</w:t>
            </w:r>
            <w:r w:rsidR="00754684" w:rsidRPr="00872A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 XXVI dos Direitos Humanos traz</w:t>
            </w:r>
            <w:r w:rsidRPr="00872A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D63940" w:rsidRPr="00872A4D" w:rsidRDefault="0068408D" w:rsidP="008F5A14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72A4D">
              <w:rPr>
                <w:rFonts w:ascii="Arial" w:hAnsi="Arial" w:cs="Arial"/>
                <w:i/>
                <w:sz w:val="24"/>
                <w:szCs w:val="24"/>
                <w:u w:val="single"/>
                <w:shd w:val="clear" w:color="auto" w:fill="FFFFFF"/>
              </w:rPr>
              <w:t>“</w:t>
            </w:r>
            <w:r w:rsidR="009E64BD" w:rsidRPr="00872A4D">
              <w:rPr>
                <w:rFonts w:ascii="Arial" w:hAnsi="Arial" w:cs="Arial"/>
                <w:i/>
                <w:sz w:val="24"/>
                <w:szCs w:val="24"/>
                <w:u w:val="single"/>
                <w:shd w:val="clear" w:color="auto" w:fill="FFFFFF"/>
              </w:rPr>
              <w:t>Art. 6º São direitos sociais a educação, a saúde, a alimentação, o trabalho, a moradia, o lazer, a segurança, a previdência social, a proteção à maternidade e à infância, a assistência aos desamparados, na forma desta Constituição.</w:t>
            </w:r>
            <w:r w:rsidR="009E64BD" w:rsidRPr="00872A4D">
              <w:rPr>
                <w:rStyle w:val="apple-converted-space"/>
                <w:rFonts w:ascii="Arial" w:hAnsi="Arial" w:cs="Arial"/>
                <w:i/>
                <w:sz w:val="24"/>
                <w:szCs w:val="24"/>
                <w:u w:val="single"/>
                <w:shd w:val="clear" w:color="auto" w:fill="FFFFFF"/>
              </w:rPr>
              <w:t> </w:t>
            </w:r>
            <w:hyperlink r:id="rId7" w:anchor="art1" w:history="1">
              <w:r w:rsidR="008F5A14" w:rsidRPr="00872A4D">
                <w:rPr>
                  <w:rStyle w:val="Hyperlink"/>
                  <w:rFonts w:ascii="Arial" w:hAnsi="Arial" w:cs="Arial"/>
                  <w:i/>
                  <w:color w:val="auto"/>
                  <w:sz w:val="24"/>
                  <w:szCs w:val="24"/>
                  <w:shd w:val="clear" w:color="auto" w:fill="FFFFFF"/>
                </w:rPr>
                <w:t xml:space="preserve">(Redação dada pela </w:t>
              </w:r>
              <w:r w:rsidR="008F5A14" w:rsidRPr="00872A4D">
                <w:rPr>
                  <w:rStyle w:val="Hyperlink"/>
                  <w:rFonts w:ascii="Arial" w:hAnsi="Arial" w:cs="Arial"/>
                  <w:i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Emenda Constitucional nº 64, de 2010)</w:t>
              </w:r>
            </w:hyperlink>
            <w:r w:rsidR="008F5A14" w:rsidRPr="00872A4D">
              <w:rPr>
                <w:rFonts w:ascii="Arial" w:hAnsi="Arial" w:cs="Arial"/>
                <w:i/>
                <w:sz w:val="24"/>
                <w:szCs w:val="24"/>
                <w:u w:val="single"/>
              </w:rPr>
              <w:t>”</w:t>
            </w:r>
          </w:p>
        </w:tc>
        <w:tc>
          <w:tcPr>
            <w:tcW w:w="3037" w:type="dxa"/>
          </w:tcPr>
          <w:p w:rsidR="00D63940" w:rsidRPr="00872A4D" w:rsidRDefault="0068408D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lastRenderedPageBreak/>
              <w:t>Essa lâmina nos mostra</w:t>
            </w:r>
            <w:r w:rsidR="000928B9" w:rsidRPr="00872A4D">
              <w:rPr>
                <w:rFonts w:ascii="Arial" w:hAnsi="Arial" w:cs="Arial"/>
                <w:sz w:val="24"/>
                <w:szCs w:val="24"/>
              </w:rPr>
              <w:t>, teoricamente,</w:t>
            </w:r>
            <w:r w:rsidRPr="00872A4D">
              <w:rPr>
                <w:rFonts w:ascii="Arial" w:hAnsi="Arial" w:cs="Arial"/>
                <w:sz w:val="24"/>
                <w:szCs w:val="24"/>
              </w:rPr>
              <w:t xml:space="preserve"> o Brasil perante o artigo dos Direitos Humanos</w:t>
            </w:r>
            <w:r w:rsidR="000928B9" w:rsidRPr="00872A4D">
              <w:rPr>
                <w:rFonts w:ascii="Arial" w:hAnsi="Arial" w:cs="Arial"/>
                <w:sz w:val="24"/>
                <w:szCs w:val="24"/>
              </w:rPr>
              <w:t>, aqui tratado. A próxima será referente a prática (execução) do mesmo.</w:t>
            </w:r>
          </w:p>
        </w:tc>
      </w:tr>
      <w:tr w:rsidR="00D63940" w:rsidRPr="00872A4D" w:rsidTr="001018C0">
        <w:trPr>
          <w:trHeight w:val="2143"/>
        </w:trPr>
        <w:tc>
          <w:tcPr>
            <w:tcW w:w="861" w:type="dxa"/>
          </w:tcPr>
          <w:p w:rsidR="00D63940" w:rsidRPr="00872A4D" w:rsidRDefault="00695EFD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212" w:type="dxa"/>
          </w:tcPr>
          <w:p w:rsidR="00D63940" w:rsidRPr="00872A4D" w:rsidRDefault="00FD4587" w:rsidP="00A10B90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t xml:space="preserve">Pesquisas realizadas pelo IBGE e IBOPE, no ano de 2009 </w:t>
            </w:r>
            <w:r w:rsidR="00015ED1" w:rsidRPr="00872A4D">
              <w:rPr>
                <w:rFonts w:ascii="Arial" w:hAnsi="Arial" w:cs="Arial"/>
                <w:sz w:val="24"/>
                <w:szCs w:val="24"/>
              </w:rPr>
              <w:t>informam que mais de 730 mil crianças ainda estão fora da escola</w:t>
            </w:r>
            <w:r w:rsidRPr="00872A4D">
              <w:rPr>
                <w:rStyle w:val="apple-converted-space"/>
                <w:rFonts w:ascii="Arial" w:hAnsi="Arial" w:cs="Arial"/>
                <w:sz w:val="24"/>
                <w:szCs w:val="24"/>
              </w:rPr>
              <w:t xml:space="preserve">. Também revelam </w:t>
            </w:r>
            <w:r w:rsidR="00A10B90" w:rsidRPr="00872A4D">
              <w:rPr>
                <w:rStyle w:val="apple-converted-space"/>
                <w:rFonts w:ascii="Arial" w:hAnsi="Arial" w:cs="Arial"/>
                <w:sz w:val="24"/>
                <w:szCs w:val="24"/>
              </w:rPr>
              <w:t xml:space="preserve"> </w:t>
            </w:r>
            <w:r w:rsidR="00A10B90" w:rsidRPr="00872A4D">
              <w:rPr>
                <w:rFonts w:ascii="Arial" w:hAnsi="Arial" w:cs="Arial"/>
                <w:sz w:val="24"/>
                <w:szCs w:val="24"/>
              </w:rPr>
              <w:t>que o analfabetismo funcional de pessoas entre 15 e 64 anos foi de 28%. Além de lugares que não disponibilizam de acesso a educação para seus habitantes.</w:t>
            </w:r>
          </w:p>
        </w:tc>
        <w:tc>
          <w:tcPr>
            <w:tcW w:w="3037" w:type="dxa"/>
          </w:tcPr>
          <w:p w:rsidR="00FD4587" w:rsidRPr="00872A4D" w:rsidRDefault="001F1040" w:rsidP="002B5367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t xml:space="preserve">Podemos verificar dois extremos no Brasil, entre ideologia e realidade. Em borá nossa realidade de educação já tenha evoluído, entre 2009 para 2011 </w:t>
            </w:r>
            <w:r w:rsidR="00124EFA" w:rsidRPr="00872A4D">
              <w:rPr>
                <w:rFonts w:ascii="Arial" w:hAnsi="Arial" w:cs="Arial"/>
                <w:sz w:val="24"/>
                <w:szCs w:val="24"/>
              </w:rPr>
              <w:t>com a taxa de analfabetismo diminuída em</w:t>
            </w:r>
            <w:r w:rsidRPr="00872A4D">
              <w:rPr>
                <w:rFonts w:ascii="Arial" w:hAnsi="Arial" w:cs="Arial"/>
                <w:sz w:val="24"/>
                <w:szCs w:val="24"/>
              </w:rPr>
              <w:t xml:space="preserve"> 1,1%</w:t>
            </w:r>
            <w:r w:rsidR="00124EFA" w:rsidRPr="00872A4D">
              <w:rPr>
                <w:rFonts w:ascii="Arial" w:hAnsi="Arial" w:cs="Arial"/>
                <w:sz w:val="24"/>
                <w:szCs w:val="24"/>
              </w:rPr>
              <w:t>(IBGE),  o Brasil precisa melhorar para alcançar o ideal.</w:t>
            </w:r>
          </w:p>
        </w:tc>
      </w:tr>
      <w:tr w:rsidR="00754684" w:rsidRPr="00872A4D" w:rsidTr="001018C0">
        <w:trPr>
          <w:trHeight w:val="1681"/>
        </w:trPr>
        <w:tc>
          <w:tcPr>
            <w:tcW w:w="861" w:type="dxa"/>
          </w:tcPr>
          <w:p w:rsidR="00754684" w:rsidRPr="00872A4D" w:rsidRDefault="001018C0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12" w:type="dxa"/>
          </w:tcPr>
          <w:p w:rsidR="00754684" w:rsidRPr="00872A4D" w:rsidRDefault="00754684">
            <w:pPr>
              <w:rPr>
                <w:rFonts w:ascii="Arial" w:hAnsi="Arial" w:cs="Arial"/>
                <w:sz w:val="24"/>
                <w:szCs w:val="24"/>
              </w:rPr>
            </w:pPr>
            <w:r w:rsidRPr="00872A4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425353" cy="960994"/>
                  <wp:effectExtent l="19050" t="0" r="3397" b="0"/>
                  <wp:docPr id="2" name="Imagem 1" descr="http://3.bp.blogspot.com/-cYbfKXnd86U/UEgi8ZRJ7wI/AAAAAAAABII/fCVQHcMVDZI/s1600/EDUCA%C3%87%C3%83O+00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cYbfKXnd86U/UEgi8ZRJ7wI/AAAAAAAABII/fCVQHcMVDZI/s1600/EDUCA%C3%87%C3%83O+00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875" cy="961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7" w:type="dxa"/>
          </w:tcPr>
          <w:p w:rsidR="00754684" w:rsidRPr="00872A4D" w:rsidRDefault="008F5A14" w:rsidP="008F5A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Imagem da educação</w:t>
            </w:r>
            <w:r w:rsidR="00C83BA9" w:rsidRPr="00872A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5367" w:rsidRPr="00872A4D">
              <w:rPr>
                <w:rFonts w:ascii="Arial" w:hAnsi="Arial" w:cs="Arial"/>
                <w:sz w:val="24"/>
                <w:szCs w:val="24"/>
              </w:rPr>
              <w:t>Brasileira</w:t>
            </w:r>
            <w:r w:rsidR="00445A1F" w:rsidRPr="00872A4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que nos permite concluir que o Brasil não segue o ideal. Ele busca um grande aumento nos índices da economia, segundo EIU (economist intelligence unit) mas nas pesquisas na área da educação ele se localiza </w:t>
            </w:r>
            <w:r w:rsidR="007C6AB2">
              <w:rPr>
                <w:rFonts w:ascii="Arial" w:hAnsi="Arial" w:cs="Arial"/>
                <w:sz w:val="24"/>
                <w:szCs w:val="24"/>
              </w:rPr>
              <w:t xml:space="preserve">39º lugar, avaliado ao restante do mundo (pearson internacional)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72A4D" w:rsidRDefault="00872A4D">
      <w:pPr>
        <w:rPr>
          <w:rFonts w:ascii="Arial" w:hAnsi="Arial" w:cs="Arial"/>
          <w:sz w:val="24"/>
          <w:szCs w:val="24"/>
        </w:rPr>
      </w:pPr>
    </w:p>
    <w:p w:rsidR="00872A4D" w:rsidRDefault="00872A4D">
      <w:pPr>
        <w:rPr>
          <w:rFonts w:ascii="Arial" w:hAnsi="Arial" w:cs="Arial"/>
          <w:sz w:val="24"/>
          <w:szCs w:val="24"/>
        </w:rPr>
      </w:pPr>
    </w:p>
    <w:p w:rsidR="00872A4D" w:rsidRDefault="00872A4D">
      <w:pPr>
        <w:rPr>
          <w:rFonts w:ascii="Arial" w:hAnsi="Arial" w:cs="Arial"/>
          <w:sz w:val="24"/>
          <w:szCs w:val="24"/>
        </w:rPr>
      </w:pPr>
    </w:p>
    <w:p w:rsidR="00872A4D" w:rsidRDefault="00872A4D">
      <w:pPr>
        <w:rPr>
          <w:rFonts w:ascii="Arial" w:hAnsi="Arial" w:cs="Arial"/>
          <w:sz w:val="24"/>
          <w:szCs w:val="24"/>
        </w:rPr>
      </w:pPr>
    </w:p>
    <w:p w:rsidR="00872A4D" w:rsidRDefault="00872A4D">
      <w:pPr>
        <w:rPr>
          <w:rFonts w:ascii="Arial" w:hAnsi="Arial" w:cs="Arial"/>
          <w:sz w:val="24"/>
          <w:szCs w:val="24"/>
        </w:rPr>
      </w:pPr>
    </w:p>
    <w:p w:rsidR="00872A4D" w:rsidRDefault="00872A4D">
      <w:pPr>
        <w:rPr>
          <w:rFonts w:ascii="Arial" w:hAnsi="Arial" w:cs="Arial"/>
          <w:sz w:val="24"/>
          <w:szCs w:val="24"/>
        </w:rPr>
      </w:pPr>
    </w:p>
    <w:p w:rsidR="002B5367" w:rsidRPr="00872A4D" w:rsidRDefault="002B5367">
      <w:pPr>
        <w:rPr>
          <w:rFonts w:ascii="Arial" w:hAnsi="Arial" w:cs="Arial"/>
          <w:sz w:val="24"/>
          <w:szCs w:val="24"/>
        </w:rPr>
      </w:pPr>
      <w:r w:rsidRPr="00872A4D">
        <w:rPr>
          <w:rFonts w:ascii="Arial" w:hAnsi="Arial" w:cs="Arial"/>
          <w:sz w:val="24"/>
          <w:szCs w:val="24"/>
        </w:rPr>
        <w:t xml:space="preserve">Fontes bibliográficas: </w:t>
      </w:r>
    </w:p>
    <w:p w:rsidR="00D63940" w:rsidRPr="00872A4D" w:rsidRDefault="000A60FA">
      <w:pPr>
        <w:rPr>
          <w:rFonts w:ascii="Arial" w:hAnsi="Arial" w:cs="Arial"/>
          <w:sz w:val="24"/>
          <w:szCs w:val="24"/>
        </w:rPr>
      </w:pPr>
      <w:hyperlink r:id="rId9" w:history="1">
        <w:r w:rsidR="000928B9" w:rsidRPr="00872A4D">
          <w:rPr>
            <w:rStyle w:val="Hyperlink"/>
            <w:rFonts w:ascii="Arial" w:hAnsi="Arial" w:cs="Arial"/>
            <w:sz w:val="24"/>
            <w:szCs w:val="24"/>
          </w:rPr>
          <w:t>http://www.planalto.gov.br/ccivil_03/constituicao/constituicaocompilado.htm</w:t>
        </w:r>
      </w:hyperlink>
    </w:p>
    <w:p w:rsidR="000A4922" w:rsidRPr="00872A4D" w:rsidRDefault="000A60FA">
      <w:pPr>
        <w:rPr>
          <w:rFonts w:ascii="Arial" w:hAnsi="Arial" w:cs="Arial"/>
          <w:sz w:val="24"/>
          <w:szCs w:val="24"/>
        </w:rPr>
      </w:pPr>
      <w:hyperlink r:id="rId10" w:anchor="26" w:history="1">
        <w:r w:rsidR="000A4922" w:rsidRPr="00872A4D">
          <w:rPr>
            <w:rStyle w:val="Hyperlink"/>
            <w:rFonts w:ascii="Arial" w:hAnsi="Arial" w:cs="Arial"/>
            <w:sz w:val="24"/>
            <w:szCs w:val="24"/>
          </w:rPr>
          <w:t>http://www.dhnet.org.br/direitos/deconu/textos/integra.htm#26</w:t>
        </w:r>
      </w:hyperlink>
    </w:p>
    <w:p w:rsidR="00FA3EA5" w:rsidRPr="00872A4D" w:rsidRDefault="000A60FA">
      <w:pPr>
        <w:rPr>
          <w:rFonts w:ascii="Arial" w:hAnsi="Arial" w:cs="Arial"/>
          <w:sz w:val="24"/>
          <w:szCs w:val="24"/>
        </w:rPr>
      </w:pPr>
      <w:hyperlink r:id="rId11" w:history="1">
        <w:r w:rsidR="00A10B90" w:rsidRPr="00872A4D">
          <w:rPr>
            <w:rStyle w:val="Hyperlink"/>
            <w:rFonts w:ascii="Arial" w:hAnsi="Arial" w:cs="Arial"/>
            <w:sz w:val="24"/>
            <w:szCs w:val="24"/>
          </w:rPr>
          <w:t>http://www.brasilescola.com/educacao/educacao-no-brasil.htm</w:t>
        </w:r>
      </w:hyperlink>
      <w:r w:rsidR="00FA3EA5" w:rsidRPr="00872A4D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FA3EA5" w:rsidRPr="00872A4D">
          <w:rPr>
            <w:rStyle w:val="Hyperlink"/>
            <w:rFonts w:ascii="Arial" w:hAnsi="Arial" w:cs="Arial"/>
            <w:sz w:val="24"/>
            <w:szCs w:val="24"/>
          </w:rPr>
          <w:t>http://ultimosegundo.ig.com.br/educacao/2012-09-21/taxa-de-analfabetismo-funcional-fica-estagnada-entre-2009-e-2011.html</w:t>
        </w:r>
      </w:hyperlink>
    </w:p>
    <w:p w:rsidR="00A10B90" w:rsidRDefault="00A10B90">
      <w:pPr>
        <w:rPr>
          <w:rFonts w:ascii="Tahoma" w:hAnsi="Tahoma" w:cs="Tahoma"/>
          <w:sz w:val="16"/>
          <w:szCs w:val="16"/>
        </w:rPr>
      </w:pPr>
    </w:p>
    <w:p w:rsidR="001018C0" w:rsidRDefault="001018C0">
      <w:pPr>
        <w:rPr>
          <w:rFonts w:ascii="Tahoma" w:hAnsi="Tahoma" w:cs="Tahoma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018C0" w:rsidTr="001018C0">
        <w:trPr>
          <w:trHeight w:val="14444"/>
        </w:trPr>
        <w:tc>
          <w:tcPr>
            <w:tcW w:w="8644" w:type="dxa"/>
          </w:tcPr>
          <w:p w:rsidR="001018C0" w:rsidRPr="00872A4D" w:rsidRDefault="001018C0" w:rsidP="001018C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72A4D">
              <w:rPr>
                <w:rFonts w:ascii="Arial" w:hAnsi="Arial" w:cs="Arial"/>
                <w:sz w:val="40"/>
                <w:szCs w:val="40"/>
              </w:rPr>
              <w:lastRenderedPageBreak/>
              <w:t>Instituto Federal Sul Rio Grandense</w:t>
            </w:r>
          </w:p>
          <w:p w:rsidR="001018C0" w:rsidRPr="00872A4D" w:rsidRDefault="001018C0" w:rsidP="001018C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018C0" w:rsidRPr="00872A4D" w:rsidRDefault="001018C0" w:rsidP="001018C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018C0" w:rsidRPr="00872A4D" w:rsidRDefault="001018C0" w:rsidP="001018C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018C0" w:rsidRPr="00872A4D" w:rsidRDefault="001018C0" w:rsidP="001018C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018C0" w:rsidRPr="00872A4D" w:rsidRDefault="001018C0" w:rsidP="001018C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018C0" w:rsidRPr="00872A4D" w:rsidRDefault="001018C0" w:rsidP="001018C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018C0" w:rsidRPr="00872A4D" w:rsidRDefault="001018C0" w:rsidP="001018C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872A4D" w:rsidRPr="00872A4D" w:rsidRDefault="00872A4D" w:rsidP="001018C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872A4D" w:rsidRPr="00872A4D" w:rsidRDefault="00872A4D" w:rsidP="001018C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018C0" w:rsidRPr="00872A4D" w:rsidRDefault="001018C0" w:rsidP="001018C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872A4D">
              <w:rPr>
                <w:rFonts w:ascii="Arial" w:hAnsi="Arial" w:cs="Arial"/>
                <w:sz w:val="56"/>
                <w:szCs w:val="56"/>
              </w:rPr>
              <w:t>Declaração dos Direitos Humanos</w:t>
            </w:r>
          </w:p>
          <w:p w:rsidR="001018C0" w:rsidRPr="00872A4D" w:rsidRDefault="001018C0" w:rsidP="001018C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872A4D">
              <w:rPr>
                <w:rFonts w:ascii="Arial" w:hAnsi="Arial" w:cs="Arial"/>
                <w:sz w:val="56"/>
                <w:szCs w:val="56"/>
              </w:rPr>
              <w:t>Artigo XXVI</w:t>
            </w:r>
          </w:p>
          <w:p w:rsidR="001018C0" w:rsidRPr="00872A4D" w:rsidRDefault="001018C0" w:rsidP="001018C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018C0" w:rsidRPr="00872A4D" w:rsidRDefault="001018C0" w:rsidP="001018C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018C0" w:rsidRPr="00872A4D" w:rsidRDefault="001018C0" w:rsidP="001018C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018C0" w:rsidRPr="00872A4D" w:rsidRDefault="001018C0" w:rsidP="00872A4D">
            <w:pPr>
              <w:rPr>
                <w:rFonts w:ascii="Arial" w:hAnsi="Arial" w:cs="Arial"/>
                <w:sz w:val="40"/>
                <w:szCs w:val="40"/>
              </w:rPr>
            </w:pPr>
          </w:p>
          <w:p w:rsidR="001018C0" w:rsidRPr="00872A4D" w:rsidRDefault="001018C0" w:rsidP="00872A4D">
            <w:pPr>
              <w:rPr>
                <w:rFonts w:ascii="Arial" w:hAnsi="Arial" w:cs="Arial"/>
                <w:sz w:val="40"/>
                <w:szCs w:val="40"/>
              </w:rPr>
            </w:pPr>
          </w:p>
          <w:p w:rsidR="001018C0" w:rsidRPr="00872A4D" w:rsidRDefault="001018C0" w:rsidP="001018C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1018C0" w:rsidRPr="00872A4D" w:rsidRDefault="001018C0" w:rsidP="001018C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872A4D" w:rsidRPr="00872A4D" w:rsidRDefault="00872A4D" w:rsidP="00872A4D">
            <w:pPr>
              <w:rPr>
                <w:rFonts w:ascii="Arial" w:hAnsi="Arial" w:cs="Arial"/>
                <w:sz w:val="40"/>
                <w:szCs w:val="40"/>
              </w:rPr>
            </w:pPr>
          </w:p>
          <w:p w:rsidR="00872A4D" w:rsidRPr="00872A4D" w:rsidRDefault="00872A4D" w:rsidP="00872A4D">
            <w:pPr>
              <w:rPr>
                <w:rFonts w:ascii="Arial" w:hAnsi="Arial" w:cs="Arial"/>
                <w:sz w:val="40"/>
                <w:szCs w:val="40"/>
              </w:rPr>
            </w:pPr>
          </w:p>
          <w:p w:rsidR="00872A4D" w:rsidRPr="00872A4D" w:rsidRDefault="00872A4D" w:rsidP="00872A4D">
            <w:pPr>
              <w:rPr>
                <w:rFonts w:ascii="Arial" w:hAnsi="Arial" w:cs="Arial"/>
                <w:sz w:val="40"/>
                <w:szCs w:val="40"/>
              </w:rPr>
            </w:pPr>
          </w:p>
          <w:p w:rsidR="00872A4D" w:rsidRPr="00872A4D" w:rsidRDefault="00872A4D" w:rsidP="00872A4D">
            <w:pPr>
              <w:rPr>
                <w:rFonts w:ascii="Arial" w:hAnsi="Arial" w:cs="Arial"/>
                <w:sz w:val="40"/>
                <w:szCs w:val="40"/>
              </w:rPr>
            </w:pPr>
            <w:r w:rsidRPr="00872A4D">
              <w:rPr>
                <w:rFonts w:ascii="Arial" w:hAnsi="Arial" w:cs="Arial"/>
                <w:sz w:val="40"/>
                <w:szCs w:val="40"/>
              </w:rPr>
              <w:t>Nome: Caroline Witt da Silva</w:t>
            </w:r>
          </w:p>
          <w:p w:rsidR="00872A4D" w:rsidRPr="00872A4D" w:rsidRDefault="00872A4D" w:rsidP="00872A4D">
            <w:pPr>
              <w:rPr>
                <w:rFonts w:ascii="Arial" w:hAnsi="Arial" w:cs="Arial"/>
                <w:sz w:val="40"/>
                <w:szCs w:val="40"/>
              </w:rPr>
            </w:pPr>
            <w:r w:rsidRPr="00872A4D">
              <w:rPr>
                <w:rFonts w:ascii="Arial" w:hAnsi="Arial" w:cs="Arial"/>
                <w:sz w:val="40"/>
                <w:szCs w:val="40"/>
              </w:rPr>
              <w:t>Turma: 1m</w:t>
            </w:r>
          </w:p>
          <w:p w:rsidR="00872A4D" w:rsidRPr="00872A4D" w:rsidRDefault="00872A4D" w:rsidP="00872A4D">
            <w:pPr>
              <w:rPr>
                <w:rFonts w:ascii="Arial" w:hAnsi="Arial" w:cs="Arial"/>
                <w:sz w:val="40"/>
                <w:szCs w:val="40"/>
              </w:rPr>
            </w:pPr>
          </w:p>
          <w:p w:rsidR="001018C0" w:rsidRPr="00872A4D" w:rsidRDefault="001018C0" w:rsidP="001018C0">
            <w:pPr>
              <w:rPr>
                <w:rFonts w:ascii="Arial" w:hAnsi="Arial" w:cs="Arial"/>
                <w:sz w:val="40"/>
                <w:szCs w:val="40"/>
              </w:rPr>
            </w:pPr>
          </w:p>
          <w:p w:rsidR="00872A4D" w:rsidRPr="00872A4D" w:rsidRDefault="00872A4D" w:rsidP="00872A4D">
            <w:pPr>
              <w:rPr>
                <w:rFonts w:ascii="Arial" w:hAnsi="Arial" w:cs="Arial"/>
                <w:sz w:val="40"/>
                <w:szCs w:val="40"/>
              </w:rPr>
            </w:pPr>
          </w:p>
          <w:p w:rsidR="001018C0" w:rsidRPr="001018C0" w:rsidRDefault="001018C0" w:rsidP="00872A4D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872A4D">
              <w:rPr>
                <w:rFonts w:ascii="Arial" w:hAnsi="Arial" w:cs="Arial"/>
                <w:sz w:val="40"/>
                <w:szCs w:val="40"/>
              </w:rPr>
              <w:t xml:space="preserve">Sapucaia do Sul, </w:t>
            </w:r>
            <w:r w:rsidR="00872A4D" w:rsidRPr="00872A4D">
              <w:rPr>
                <w:rFonts w:ascii="Arial" w:hAnsi="Arial" w:cs="Arial"/>
                <w:sz w:val="40"/>
                <w:szCs w:val="40"/>
              </w:rPr>
              <w:t>24 de maio de 2013</w:t>
            </w:r>
          </w:p>
        </w:tc>
      </w:tr>
    </w:tbl>
    <w:p w:rsidR="001018C0" w:rsidRPr="005D384A" w:rsidRDefault="001018C0">
      <w:pPr>
        <w:rPr>
          <w:rFonts w:ascii="Tahoma" w:hAnsi="Tahoma" w:cs="Tahoma"/>
          <w:sz w:val="16"/>
          <w:szCs w:val="16"/>
        </w:rPr>
      </w:pPr>
    </w:p>
    <w:sectPr w:rsidR="001018C0" w:rsidRPr="005D384A" w:rsidSect="00101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B04" w:rsidRDefault="00703B04" w:rsidP="004941D1">
      <w:pPr>
        <w:spacing w:after="0" w:line="240" w:lineRule="auto"/>
      </w:pPr>
      <w:r>
        <w:separator/>
      </w:r>
    </w:p>
  </w:endnote>
  <w:endnote w:type="continuationSeparator" w:id="1">
    <w:p w:rsidR="00703B04" w:rsidRDefault="00703B04" w:rsidP="0049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B04" w:rsidRDefault="00703B04" w:rsidP="004941D1">
      <w:pPr>
        <w:spacing w:after="0" w:line="240" w:lineRule="auto"/>
      </w:pPr>
      <w:r>
        <w:separator/>
      </w:r>
    </w:p>
  </w:footnote>
  <w:footnote w:type="continuationSeparator" w:id="1">
    <w:p w:rsidR="00703B04" w:rsidRDefault="00703B04" w:rsidP="00494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940"/>
    <w:rsid w:val="00015ED1"/>
    <w:rsid w:val="000405E1"/>
    <w:rsid w:val="000928B9"/>
    <w:rsid w:val="000A4922"/>
    <w:rsid w:val="000A60FA"/>
    <w:rsid w:val="001018C0"/>
    <w:rsid w:val="00124EFA"/>
    <w:rsid w:val="001A6B61"/>
    <w:rsid w:val="001F1040"/>
    <w:rsid w:val="001F3432"/>
    <w:rsid w:val="00291B47"/>
    <w:rsid w:val="002B5367"/>
    <w:rsid w:val="00445A1F"/>
    <w:rsid w:val="004941D1"/>
    <w:rsid w:val="00563AFD"/>
    <w:rsid w:val="005C08DB"/>
    <w:rsid w:val="005D384A"/>
    <w:rsid w:val="0068408D"/>
    <w:rsid w:val="00687790"/>
    <w:rsid w:val="00695EFD"/>
    <w:rsid w:val="00703B04"/>
    <w:rsid w:val="00754684"/>
    <w:rsid w:val="00790BAE"/>
    <w:rsid w:val="007C6AB2"/>
    <w:rsid w:val="00863547"/>
    <w:rsid w:val="00872A4D"/>
    <w:rsid w:val="0088449A"/>
    <w:rsid w:val="008F5A14"/>
    <w:rsid w:val="0095259C"/>
    <w:rsid w:val="009E64BD"/>
    <w:rsid w:val="00A10B90"/>
    <w:rsid w:val="00A314F9"/>
    <w:rsid w:val="00AC65C1"/>
    <w:rsid w:val="00C16174"/>
    <w:rsid w:val="00C54104"/>
    <w:rsid w:val="00C57C23"/>
    <w:rsid w:val="00C83BA9"/>
    <w:rsid w:val="00D63940"/>
    <w:rsid w:val="00D71D74"/>
    <w:rsid w:val="00FA3EA5"/>
    <w:rsid w:val="00FB068A"/>
    <w:rsid w:val="00FD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C1"/>
  </w:style>
  <w:style w:type="paragraph" w:styleId="Ttulo3">
    <w:name w:val="heading 3"/>
    <w:basedOn w:val="Normal"/>
    <w:link w:val="Ttulo3Char"/>
    <w:uiPriority w:val="9"/>
    <w:qFormat/>
    <w:rsid w:val="00C83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E64BD"/>
  </w:style>
  <w:style w:type="character" w:styleId="Hyperlink">
    <w:name w:val="Hyperlink"/>
    <w:basedOn w:val="Fontepargpadro"/>
    <w:uiPriority w:val="99"/>
    <w:unhideWhenUsed/>
    <w:rsid w:val="009E64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B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94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41D1"/>
  </w:style>
  <w:style w:type="paragraph" w:styleId="Rodap">
    <w:name w:val="footer"/>
    <w:basedOn w:val="Normal"/>
    <w:link w:val="RodapChar"/>
    <w:uiPriority w:val="99"/>
    <w:semiHidden/>
    <w:unhideWhenUsed/>
    <w:rsid w:val="00494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941D1"/>
  </w:style>
  <w:style w:type="character" w:customStyle="1" w:styleId="Ttulo3Char">
    <w:name w:val="Título 3 Char"/>
    <w:basedOn w:val="Fontepargpadro"/>
    <w:link w:val="Ttulo3"/>
    <w:uiPriority w:val="9"/>
    <w:rsid w:val="00C83BA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8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C83B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constituicao/Emendas/Emc/emc64.htm" TargetMode="External"/><Relationship Id="rId12" Type="http://schemas.openxmlformats.org/officeDocument/2006/relationships/hyperlink" Target="http://ultimosegundo.ig.com.br/educacao/2012-09-21/taxa-de-analfabetismo-funcional-fica-estagnada-entre-2009-e-201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.youthforhumanrights.org/what-are-human-rights/videos/right-to-education.html" TargetMode="External"/><Relationship Id="rId11" Type="http://schemas.openxmlformats.org/officeDocument/2006/relationships/hyperlink" Target="http://www.brasilescola.com/educacao/educacao-no-brasil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dhnet.org.br/direitos/deconu/textos/integra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constituicao/constituicaocompilado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626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Seven</cp:lastModifiedBy>
  <cp:revision>14</cp:revision>
  <dcterms:created xsi:type="dcterms:W3CDTF">2013-05-09T22:43:00Z</dcterms:created>
  <dcterms:modified xsi:type="dcterms:W3CDTF">2013-06-13T01:10:00Z</dcterms:modified>
</cp:coreProperties>
</file>